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C3" w:rsidRPr="00EF37C3" w:rsidRDefault="00EF37C3" w:rsidP="00EF37C3">
      <w:pPr>
        <w:widowControl/>
        <w:spacing w:afterLines="100" w:after="240" w:line="380" w:lineRule="exact"/>
        <w:jc w:val="center"/>
        <w:rPr>
          <w:rFonts w:ascii="宋体" w:eastAsia="宋体" w:hAnsi="宋体" w:cs="宋体"/>
          <w:kern w:val="0"/>
          <w:sz w:val="24"/>
          <w:szCs w:val="24"/>
        </w:rPr>
      </w:pPr>
      <w:r w:rsidRPr="00EF37C3">
        <w:rPr>
          <w:rFonts w:cs="宋体" w:hint="eastAsia"/>
          <w:b/>
          <w:kern w:val="0"/>
          <w:sz w:val="36"/>
          <w:szCs w:val="36"/>
        </w:rPr>
        <w:t>国家安全监管总局关于印发</w:t>
      </w:r>
    </w:p>
    <w:p w:rsidR="00EF37C3" w:rsidRPr="00EF37C3" w:rsidRDefault="00EF37C3" w:rsidP="00EF37C3">
      <w:pPr>
        <w:widowControl/>
        <w:spacing w:afterLines="100" w:after="240" w:line="380" w:lineRule="exact"/>
        <w:jc w:val="center"/>
        <w:rPr>
          <w:rFonts w:ascii="宋体" w:eastAsia="宋体" w:hAnsi="宋体" w:cs="宋体"/>
          <w:kern w:val="0"/>
          <w:sz w:val="24"/>
          <w:szCs w:val="24"/>
        </w:rPr>
      </w:pPr>
      <w:r w:rsidRPr="00EF37C3">
        <w:rPr>
          <w:rFonts w:cs="宋体" w:hint="eastAsia"/>
          <w:b/>
          <w:kern w:val="0"/>
          <w:sz w:val="36"/>
          <w:szCs w:val="36"/>
        </w:rPr>
        <w:t>工贸行业遏制重特大事故工作意见的通知</w:t>
      </w:r>
    </w:p>
    <w:p w:rsidR="00EF37C3" w:rsidRPr="00EF37C3" w:rsidRDefault="00EF37C3" w:rsidP="00EF37C3">
      <w:pPr>
        <w:widowControl/>
        <w:spacing w:afterLines="100" w:after="240" w:line="380" w:lineRule="exact"/>
        <w:jc w:val="center"/>
        <w:rPr>
          <w:rFonts w:ascii="宋体" w:eastAsia="宋体" w:hAnsi="宋体" w:cs="宋体"/>
          <w:kern w:val="0"/>
          <w:sz w:val="24"/>
          <w:szCs w:val="24"/>
        </w:rPr>
      </w:pPr>
      <w:r w:rsidRPr="00EF37C3">
        <w:rPr>
          <w:rFonts w:ascii="楷体_GB2312" w:eastAsia="楷体_GB2312" w:hAnsi="宋体" w:cs="宋体" w:hint="eastAsia"/>
          <w:kern w:val="0"/>
          <w:sz w:val="24"/>
          <w:szCs w:val="24"/>
        </w:rPr>
        <w:t>安监</w:t>
      </w:r>
      <w:proofErr w:type="gramStart"/>
      <w:r w:rsidRPr="00EF37C3">
        <w:rPr>
          <w:rFonts w:ascii="楷体_GB2312" w:eastAsia="楷体_GB2312" w:hAnsi="宋体" w:cs="宋体" w:hint="eastAsia"/>
          <w:kern w:val="0"/>
          <w:sz w:val="24"/>
          <w:szCs w:val="24"/>
        </w:rPr>
        <w:t>总管四</w:t>
      </w:r>
      <w:proofErr w:type="gramEnd"/>
      <w:r w:rsidRPr="00EF37C3">
        <w:rPr>
          <w:rFonts w:ascii="楷体_GB2312" w:eastAsia="楷体_GB2312" w:hAnsi="宋体" w:cs="宋体" w:hint="eastAsia"/>
          <w:kern w:val="0"/>
          <w:sz w:val="24"/>
          <w:szCs w:val="24"/>
        </w:rPr>
        <w:t>〔2016〕68号</w:t>
      </w:r>
    </w:p>
    <w:p w:rsidR="00EF37C3" w:rsidRPr="00EF37C3" w:rsidRDefault="00EF37C3" w:rsidP="00EF37C3">
      <w:pPr>
        <w:widowControl/>
        <w:spacing w:afterLines="100" w:after="240" w:line="380" w:lineRule="exact"/>
        <w:jc w:val="left"/>
        <w:rPr>
          <w:rFonts w:ascii="宋体" w:eastAsia="宋体" w:hAnsi="宋体" w:cs="宋体"/>
          <w:kern w:val="0"/>
          <w:sz w:val="24"/>
          <w:szCs w:val="24"/>
        </w:rPr>
      </w:pPr>
      <w:r w:rsidRPr="00EF37C3">
        <w:rPr>
          <w:rFonts w:cs="宋体" w:hint="eastAsia"/>
          <w:kern w:val="0"/>
          <w:sz w:val="24"/>
          <w:szCs w:val="24"/>
        </w:rPr>
        <w:t>各省、自治区、直辖市及新疆生产建设兵团安全生产监督管理局，有关中央企业：</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为认真贯彻落实党中央、国务院决策部署，坚决防范遏制工贸行业重特大事故，根据《国务院安委会办公室关于印发标本兼治遏制重特大事故工作指南的通知》（安委办〔</w:t>
      </w:r>
      <w:r w:rsidRPr="00EF37C3">
        <w:rPr>
          <w:rFonts w:ascii="Calibri" w:eastAsia="宋体" w:hAnsi="Calibri" w:cs="Calibri"/>
          <w:kern w:val="0"/>
          <w:sz w:val="24"/>
          <w:szCs w:val="24"/>
        </w:rPr>
        <w:t>2016</w:t>
      </w:r>
      <w:r w:rsidRPr="00EF37C3">
        <w:rPr>
          <w:rFonts w:cs="宋体" w:hint="eastAsia"/>
          <w:kern w:val="0"/>
          <w:sz w:val="24"/>
          <w:szCs w:val="24"/>
        </w:rPr>
        <w:t>〕</w:t>
      </w:r>
      <w:r w:rsidRPr="00EF37C3">
        <w:rPr>
          <w:rFonts w:ascii="Calibri" w:eastAsia="宋体" w:hAnsi="Calibri" w:cs="Calibri"/>
          <w:kern w:val="0"/>
          <w:sz w:val="24"/>
          <w:szCs w:val="24"/>
        </w:rPr>
        <w:t>3</w:t>
      </w:r>
      <w:r w:rsidRPr="00EF37C3">
        <w:rPr>
          <w:rFonts w:cs="宋体" w:hint="eastAsia"/>
          <w:kern w:val="0"/>
          <w:sz w:val="24"/>
          <w:szCs w:val="24"/>
        </w:rPr>
        <w:t>号）要求，国家安全监管总局制定了《工贸行业遏制重特大事故工作意见》，现印发给你们，请组织辖区内各级安全监管部门和有关企业认真贯彻落实。</w:t>
      </w:r>
    </w:p>
    <w:p w:rsidR="00EF37C3" w:rsidRPr="00EF37C3" w:rsidRDefault="00EF37C3" w:rsidP="00EF37C3">
      <w:pPr>
        <w:widowControl/>
        <w:spacing w:afterLines="100" w:after="240" w:line="380" w:lineRule="exact"/>
        <w:ind w:firstLineChars="200" w:firstLine="480"/>
        <w:jc w:val="right"/>
        <w:rPr>
          <w:rFonts w:ascii="宋体" w:eastAsia="宋体" w:hAnsi="宋体" w:cs="宋体"/>
          <w:kern w:val="0"/>
          <w:sz w:val="24"/>
          <w:szCs w:val="24"/>
        </w:rPr>
      </w:pPr>
      <w:r w:rsidRPr="00EF37C3">
        <w:rPr>
          <w:rFonts w:ascii="Calibri" w:eastAsia="宋体" w:hAnsi="Calibri" w:cs="Calibri"/>
          <w:kern w:val="0"/>
          <w:sz w:val="24"/>
          <w:szCs w:val="24"/>
        </w:rPr>
        <w:t xml:space="preserve">                       </w:t>
      </w:r>
      <w:r w:rsidRPr="00EF37C3">
        <w:rPr>
          <w:rFonts w:cs="宋体" w:hint="eastAsia"/>
          <w:kern w:val="0"/>
          <w:sz w:val="24"/>
          <w:szCs w:val="24"/>
        </w:rPr>
        <w:t>国家安全监管总局</w:t>
      </w:r>
    </w:p>
    <w:p w:rsidR="00EF37C3" w:rsidRPr="00EF37C3" w:rsidRDefault="00EF37C3" w:rsidP="00EF37C3">
      <w:pPr>
        <w:widowControl/>
        <w:spacing w:afterLines="100" w:after="240" w:line="380" w:lineRule="exact"/>
        <w:ind w:firstLineChars="200" w:firstLine="480"/>
        <w:jc w:val="right"/>
        <w:rPr>
          <w:rFonts w:ascii="宋体" w:eastAsia="宋体" w:hAnsi="宋体" w:cs="宋体"/>
          <w:kern w:val="0"/>
          <w:sz w:val="24"/>
          <w:szCs w:val="24"/>
        </w:rPr>
      </w:pPr>
      <w:r w:rsidRPr="00EF37C3">
        <w:rPr>
          <w:rFonts w:ascii="Calibri" w:eastAsia="宋体" w:hAnsi="Calibri" w:cs="Calibri"/>
          <w:kern w:val="0"/>
          <w:sz w:val="24"/>
          <w:szCs w:val="24"/>
        </w:rPr>
        <w:t xml:space="preserve">                       2016</w:t>
      </w:r>
      <w:r w:rsidRPr="00EF37C3">
        <w:rPr>
          <w:rFonts w:cs="宋体" w:hint="eastAsia"/>
          <w:kern w:val="0"/>
          <w:sz w:val="24"/>
          <w:szCs w:val="24"/>
        </w:rPr>
        <w:t>年</w:t>
      </w:r>
      <w:r w:rsidRPr="00EF37C3">
        <w:rPr>
          <w:rFonts w:ascii="Calibri" w:eastAsia="宋体" w:hAnsi="Calibri" w:cs="Calibri"/>
          <w:kern w:val="0"/>
          <w:sz w:val="24"/>
          <w:szCs w:val="24"/>
        </w:rPr>
        <w:t>6</w:t>
      </w:r>
      <w:r w:rsidRPr="00EF37C3">
        <w:rPr>
          <w:rFonts w:cs="宋体" w:hint="eastAsia"/>
          <w:kern w:val="0"/>
          <w:sz w:val="24"/>
          <w:szCs w:val="24"/>
        </w:rPr>
        <w:t>月</w:t>
      </w:r>
      <w:r w:rsidRPr="00EF37C3">
        <w:rPr>
          <w:rFonts w:ascii="Calibri" w:eastAsia="宋体" w:hAnsi="Calibri" w:cs="Calibri"/>
          <w:kern w:val="0"/>
          <w:sz w:val="24"/>
          <w:szCs w:val="24"/>
        </w:rPr>
        <w:t>28</w:t>
      </w:r>
      <w:r w:rsidRPr="00EF37C3">
        <w:rPr>
          <w:rFonts w:cs="宋体" w:hint="eastAsia"/>
          <w:kern w:val="0"/>
          <w:sz w:val="24"/>
          <w:szCs w:val="24"/>
        </w:rPr>
        <w:t>日</w:t>
      </w:r>
    </w:p>
    <w:p w:rsidR="00EF37C3" w:rsidRPr="00EF37C3" w:rsidRDefault="00EF37C3" w:rsidP="00EF37C3">
      <w:pPr>
        <w:widowControl/>
        <w:spacing w:afterLines="100" w:after="240" w:line="380" w:lineRule="exact"/>
        <w:jc w:val="center"/>
        <w:rPr>
          <w:rFonts w:ascii="宋体" w:eastAsia="宋体" w:hAnsi="宋体" w:cs="宋体"/>
          <w:kern w:val="0"/>
          <w:sz w:val="24"/>
          <w:szCs w:val="24"/>
        </w:rPr>
      </w:pPr>
      <w:r w:rsidRPr="00EF37C3">
        <w:rPr>
          <w:rFonts w:cs="宋体" w:hint="eastAsia"/>
          <w:b/>
          <w:kern w:val="0"/>
          <w:sz w:val="30"/>
          <w:szCs w:val="30"/>
        </w:rPr>
        <w:t>工贸行业遏制重特大事故工作意见</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为强化安全风险管控和隐患排查治理，着力解决工贸行业企业存在的突出问题，有效防范各类事故，坚决遏制重特大事故，根据国务院安委会办公室《标本兼治遏制重特大事故工作指南》，制定本意见。</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一、主要工作目标</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坚持标本兼治、综合治理，把安全风险</w:t>
      </w:r>
      <w:proofErr w:type="gramStart"/>
      <w:r w:rsidRPr="00EF37C3">
        <w:rPr>
          <w:rFonts w:cs="宋体" w:hint="eastAsia"/>
          <w:kern w:val="0"/>
          <w:sz w:val="24"/>
          <w:szCs w:val="24"/>
        </w:rPr>
        <w:t>管控挺在</w:t>
      </w:r>
      <w:proofErr w:type="gramEnd"/>
      <w:r w:rsidRPr="00EF37C3">
        <w:rPr>
          <w:rFonts w:cs="宋体" w:hint="eastAsia"/>
          <w:kern w:val="0"/>
          <w:sz w:val="24"/>
          <w:szCs w:val="24"/>
        </w:rPr>
        <w:t>隐患前面，把隐患排查治理挺在事故前面，全面分析把握工贸行业风险分级管控和隐患排查治理双重预防工作机制的内涵，构建有效的工作方法措施，提升防控安全风险和排查治理隐患水平；根据本地区工贸行业安全生产工作特点和规律，坚持问题导向，强化基础，摸清企业数量和风险底数，精准地开展专项治理，根治一批重大隐患，淘汰一批落后工艺技术，整改一批安全保障能力差的企业，督促企业开展安全生产标准化建设，建立自主管理的安全生产管理体系，持续改进，有效防范工贸行业各类事故，坚决遏制重特大事故。</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二、主要工作任务</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（一）认真开展较大危险因素辨识管控。</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lastRenderedPageBreak/>
        <w:t>1.</w:t>
      </w:r>
      <w:r w:rsidRPr="00EF37C3">
        <w:rPr>
          <w:rFonts w:cs="宋体" w:hint="eastAsia"/>
          <w:kern w:val="0"/>
          <w:sz w:val="24"/>
          <w:szCs w:val="24"/>
        </w:rPr>
        <w:t>各地区要认真贯彻落实《国家安全监管总局关于印发开展工贸企业较大危险因素辨识管控提升防范事故能力行动计划的通知》（安监</w:t>
      </w:r>
      <w:proofErr w:type="gramStart"/>
      <w:r w:rsidRPr="00EF37C3">
        <w:rPr>
          <w:rFonts w:cs="宋体" w:hint="eastAsia"/>
          <w:kern w:val="0"/>
          <w:sz w:val="24"/>
          <w:szCs w:val="24"/>
        </w:rPr>
        <w:t>总管四</w:t>
      </w:r>
      <w:proofErr w:type="gramEnd"/>
      <w:r w:rsidRPr="00EF37C3">
        <w:rPr>
          <w:rFonts w:cs="宋体" w:hint="eastAsia"/>
          <w:kern w:val="0"/>
          <w:sz w:val="24"/>
          <w:szCs w:val="24"/>
        </w:rPr>
        <w:t>〔</w:t>
      </w:r>
      <w:r w:rsidRPr="00EF37C3">
        <w:rPr>
          <w:rFonts w:ascii="Calibri" w:eastAsia="宋体" w:hAnsi="Calibri" w:cs="Calibri"/>
          <w:kern w:val="0"/>
          <w:sz w:val="24"/>
          <w:szCs w:val="24"/>
        </w:rPr>
        <w:t>2016</w:t>
      </w:r>
      <w:r w:rsidRPr="00EF37C3">
        <w:rPr>
          <w:rFonts w:cs="宋体" w:hint="eastAsia"/>
          <w:kern w:val="0"/>
          <w:sz w:val="24"/>
          <w:szCs w:val="24"/>
        </w:rPr>
        <w:t>〕</w:t>
      </w:r>
      <w:r w:rsidRPr="00EF37C3">
        <w:rPr>
          <w:rFonts w:ascii="Calibri" w:eastAsia="宋体" w:hAnsi="Calibri" w:cs="Calibri"/>
          <w:kern w:val="0"/>
          <w:sz w:val="24"/>
          <w:szCs w:val="24"/>
        </w:rPr>
        <w:t>31</w:t>
      </w:r>
      <w:r w:rsidRPr="00EF37C3">
        <w:rPr>
          <w:rFonts w:cs="宋体" w:hint="eastAsia"/>
          <w:kern w:val="0"/>
          <w:sz w:val="24"/>
          <w:szCs w:val="24"/>
        </w:rPr>
        <w:t>号）要求，督促企业对照《工贸行业较大危险因素辨识与防范指导手册（</w:t>
      </w:r>
      <w:r w:rsidRPr="00EF37C3">
        <w:rPr>
          <w:rFonts w:ascii="Calibri" w:eastAsia="宋体" w:hAnsi="Calibri" w:cs="Calibri"/>
          <w:kern w:val="0"/>
          <w:sz w:val="24"/>
          <w:szCs w:val="24"/>
        </w:rPr>
        <w:t>2016</w:t>
      </w:r>
      <w:r w:rsidRPr="00EF37C3">
        <w:rPr>
          <w:rFonts w:cs="宋体" w:hint="eastAsia"/>
          <w:kern w:val="0"/>
          <w:sz w:val="24"/>
          <w:szCs w:val="24"/>
        </w:rPr>
        <w:t>版）》开展较大危险因素辨识、管控工作。</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2.</w:t>
      </w:r>
      <w:r w:rsidRPr="00EF37C3">
        <w:rPr>
          <w:rFonts w:cs="宋体" w:hint="eastAsia"/>
          <w:kern w:val="0"/>
          <w:sz w:val="24"/>
          <w:szCs w:val="24"/>
        </w:rPr>
        <w:t>将国家安全监管总局组织制定的《〈工贸行业较大危险因素辨识与防范指导手册（</w:t>
      </w:r>
      <w:r w:rsidRPr="00EF37C3">
        <w:rPr>
          <w:rFonts w:ascii="Calibri" w:eastAsia="宋体" w:hAnsi="Calibri" w:cs="Calibri"/>
          <w:kern w:val="0"/>
          <w:sz w:val="24"/>
          <w:szCs w:val="24"/>
        </w:rPr>
        <w:t>2016</w:t>
      </w:r>
      <w:r w:rsidRPr="00EF37C3">
        <w:rPr>
          <w:rFonts w:cs="宋体" w:hint="eastAsia"/>
          <w:kern w:val="0"/>
          <w:sz w:val="24"/>
          <w:szCs w:val="24"/>
        </w:rPr>
        <w:t>版）〉使用指南》（见附件）转发至每一家工贸企业，要求企业参照该指南将较大危险因素辨识责任落实到班组、岗位，确保岗位员工掌握本岗位的安全风险及相应的防范和应急措施。</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3.</w:t>
      </w:r>
      <w:r w:rsidRPr="00EF37C3">
        <w:rPr>
          <w:rFonts w:cs="宋体" w:hint="eastAsia"/>
          <w:kern w:val="0"/>
          <w:sz w:val="24"/>
          <w:szCs w:val="24"/>
        </w:rPr>
        <w:t>加强对重要场所、设备、作业的风险管控和监督检查。一是重大危险源；二是现场作业人员超过</w:t>
      </w:r>
      <w:r w:rsidRPr="00EF37C3">
        <w:rPr>
          <w:rFonts w:ascii="Calibri" w:eastAsia="宋体" w:hAnsi="Calibri" w:cs="Calibri"/>
          <w:kern w:val="0"/>
          <w:sz w:val="24"/>
          <w:szCs w:val="24"/>
        </w:rPr>
        <w:t>10</w:t>
      </w:r>
      <w:r w:rsidRPr="00EF37C3">
        <w:rPr>
          <w:rFonts w:cs="宋体" w:hint="eastAsia"/>
          <w:kern w:val="0"/>
          <w:sz w:val="24"/>
          <w:szCs w:val="24"/>
        </w:rPr>
        <w:t>人的密集型作业场所、</w:t>
      </w:r>
      <w:proofErr w:type="gramStart"/>
      <w:r w:rsidRPr="00EF37C3">
        <w:rPr>
          <w:rFonts w:cs="宋体" w:hint="eastAsia"/>
          <w:kern w:val="0"/>
          <w:sz w:val="24"/>
          <w:szCs w:val="24"/>
        </w:rPr>
        <w:t>涉爆粉尘</w:t>
      </w:r>
      <w:proofErr w:type="gramEnd"/>
      <w:r w:rsidRPr="00EF37C3">
        <w:rPr>
          <w:rFonts w:cs="宋体" w:hint="eastAsia"/>
          <w:kern w:val="0"/>
          <w:sz w:val="24"/>
          <w:szCs w:val="24"/>
        </w:rPr>
        <w:t>场所、涉及液氨等危险化学品使用的场所；三是停产、复产、检维修、相关方作业等关键环节；四是高温熔融金属吊运、冶金煤气、有限空间、动火等危险作业。</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4.</w:t>
      </w:r>
      <w:r w:rsidRPr="00EF37C3">
        <w:rPr>
          <w:rFonts w:cs="宋体" w:hint="eastAsia"/>
          <w:kern w:val="0"/>
          <w:sz w:val="24"/>
          <w:szCs w:val="24"/>
        </w:rPr>
        <w:t>针对劳动密集型作业场所，要依据风险等级，采取作业人员远离危险因素、对危险因素进行隔离屏蔽、限制作业场所人员数量等有针对性的空间物理隔离措施。</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（二）抓好重点行业领域专项治理。</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1.</w:t>
      </w:r>
      <w:r w:rsidRPr="00EF37C3">
        <w:rPr>
          <w:rFonts w:cs="宋体" w:hint="eastAsia"/>
          <w:kern w:val="0"/>
          <w:sz w:val="24"/>
          <w:szCs w:val="24"/>
        </w:rPr>
        <w:t>实施粉尘防爆治理工程。按照《国家安全监管总局办公厅关于广东深圳精艺星五金加工厂“</w:t>
      </w:r>
      <w:r w:rsidRPr="00EF37C3">
        <w:rPr>
          <w:rFonts w:ascii="Calibri" w:eastAsia="宋体" w:hAnsi="Calibri" w:cs="Calibri"/>
          <w:kern w:val="0"/>
          <w:sz w:val="24"/>
          <w:szCs w:val="24"/>
        </w:rPr>
        <w:t>4</w:t>
      </w:r>
      <w:r w:rsidRPr="00EF37C3">
        <w:rPr>
          <w:rFonts w:cs="宋体" w:hint="eastAsia"/>
          <w:kern w:val="0"/>
          <w:sz w:val="24"/>
          <w:szCs w:val="24"/>
        </w:rPr>
        <w:t>·</w:t>
      </w:r>
      <w:r w:rsidRPr="00EF37C3">
        <w:rPr>
          <w:rFonts w:ascii="Calibri" w:eastAsia="宋体" w:hAnsi="Calibri" w:cs="Calibri"/>
          <w:kern w:val="0"/>
          <w:sz w:val="24"/>
          <w:szCs w:val="24"/>
        </w:rPr>
        <w:t>29</w:t>
      </w:r>
      <w:r w:rsidRPr="00EF37C3">
        <w:rPr>
          <w:rFonts w:cs="宋体" w:hint="eastAsia"/>
          <w:kern w:val="0"/>
          <w:sz w:val="24"/>
          <w:szCs w:val="24"/>
        </w:rPr>
        <w:t>”粉尘爆炸事故的通报》（安</w:t>
      </w:r>
      <w:proofErr w:type="gramStart"/>
      <w:r w:rsidRPr="00EF37C3">
        <w:rPr>
          <w:rFonts w:cs="宋体" w:hint="eastAsia"/>
          <w:kern w:val="0"/>
          <w:sz w:val="24"/>
          <w:szCs w:val="24"/>
        </w:rPr>
        <w:t>监总厅</w:t>
      </w:r>
      <w:proofErr w:type="gramEnd"/>
      <w:r w:rsidRPr="00EF37C3">
        <w:rPr>
          <w:rFonts w:cs="宋体" w:hint="eastAsia"/>
          <w:kern w:val="0"/>
          <w:sz w:val="24"/>
          <w:szCs w:val="24"/>
        </w:rPr>
        <w:t>管四〔</w:t>
      </w:r>
      <w:r w:rsidRPr="00EF37C3">
        <w:rPr>
          <w:rFonts w:ascii="Calibri" w:eastAsia="宋体" w:hAnsi="Calibri" w:cs="Calibri"/>
          <w:kern w:val="0"/>
          <w:sz w:val="24"/>
          <w:szCs w:val="24"/>
        </w:rPr>
        <w:t>2016</w:t>
      </w:r>
      <w:r w:rsidRPr="00EF37C3">
        <w:rPr>
          <w:rFonts w:cs="宋体" w:hint="eastAsia"/>
          <w:kern w:val="0"/>
          <w:sz w:val="24"/>
          <w:szCs w:val="24"/>
        </w:rPr>
        <w:t>〕</w:t>
      </w:r>
      <w:r w:rsidRPr="00EF37C3">
        <w:rPr>
          <w:rFonts w:ascii="Calibri" w:eastAsia="宋体" w:hAnsi="Calibri" w:cs="Calibri"/>
          <w:kern w:val="0"/>
          <w:sz w:val="24"/>
          <w:szCs w:val="24"/>
        </w:rPr>
        <w:t>39</w:t>
      </w:r>
      <w:r w:rsidRPr="00EF37C3">
        <w:rPr>
          <w:rFonts w:cs="宋体" w:hint="eastAsia"/>
          <w:kern w:val="0"/>
          <w:sz w:val="24"/>
          <w:szCs w:val="24"/>
        </w:rPr>
        <w:t>号）要求，进一步核查粉尘</w:t>
      </w:r>
      <w:proofErr w:type="gramStart"/>
      <w:r w:rsidRPr="00EF37C3">
        <w:rPr>
          <w:rFonts w:cs="宋体" w:hint="eastAsia"/>
          <w:kern w:val="0"/>
          <w:sz w:val="24"/>
          <w:szCs w:val="24"/>
        </w:rPr>
        <w:t>涉爆企业</w:t>
      </w:r>
      <w:proofErr w:type="gramEnd"/>
      <w:r w:rsidRPr="00EF37C3">
        <w:rPr>
          <w:rFonts w:cs="宋体" w:hint="eastAsia"/>
          <w:kern w:val="0"/>
          <w:sz w:val="24"/>
          <w:szCs w:val="24"/>
        </w:rPr>
        <w:t>尤其是粉尘作业场所作业人员</w:t>
      </w:r>
      <w:r w:rsidRPr="00EF37C3">
        <w:rPr>
          <w:rFonts w:ascii="Calibri" w:eastAsia="宋体" w:hAnsi="Calibri" w:cs="Calibri"/>
          <w:kern w:val="0"/>
          <w:sz w:val="24"/>
          <w:szCs w:val="24"/>
        </w:rPr>
        <w:t>30</w:t>
      </w:r>
      <w:r w:rsidRPr="00EF37C3">
        <w:rPr>
          <w:rFonts w:cs="宋体" w:hint="eastAsia"/>
          <w:kern w:val="0"/>
          <w:sz w:val="24"/>
          <w:szCs w:val="24"/>
        </w:rPr>
        <w:t>人以上企业底数，做到“一地一册、</w:t>
      </w:r>
      <w:proofErr w:type="gramStart"/>
      <w:r w:rsidRPr="00EF37C3">
        <w:rPr>
          <w:rFonts w:cs="宋体" w:hint="eastAsia"/>
          <w:kern w:val="0"/>
          <w:sz w:val="24"/>
          <w:szCs w:val="24"/>
        </w:rPr>
        <w:t>一</w:t>
      </w:r>
      <w:proofErr w:type="gramEnd"/>
      <w:r w:rsidRPr="00EF37C3">
        <w:rPr>
          <w:rFonts w:cs="宋体" w:hint="eastAsia"/>
          <w:kern w:val="0"/>
          <w:sz w:val="24"/>
          <w:szCs w:val="24"/>
        </w:rPr>
        <w:t>企一表、</w:t>
      </w:r>
      <w:proofErr w:type="gramStart"/>
      <w:r w:rsidRPr="00EF37C3">
        <w:rPr>
          <w:rFonts w:cs="宋体" w:hint="eastAsia"/>
          <w:kern w:val="0"/>
          <w:sz w:val="24"/>
          <w:szCs w:val="24"/>
        </w:rPr>
        <w:t>一</w:t>
      </w:r>
      <w:proofErr w:type="gramEnd"/>
      <w:r w:rsidRPr="00EF37C3">
        <w:rPr>
          <w:rFonts w:cs="宋体" w:hint="eastAsia"/>
          <w:kern w:val="0"/>
          <w:sz w:val="24"/>
          <w:szCs w:val="24"/>
        </w:rPr>
        <w:t>隐患</w:t>
      </w:r>
      <w:proofErr w:type="gramStart"/>
      <w:r w:rsidRPr="00EF37C3">
        <w:rPr>
          <w:rFonts w:cs="宋体" w:hint="eastAsia"/>
          <w:kern w:val="0"/>
          <w:sz w:val="24"/>
          <w:szCs w:val="24"/>
        </w:rPr>
        <w:t>一</w:t>
      </w:r>
      <w:proofErr w:type="gramEnd"/>
      <w:r w:rsidRPr="00EF37C3">
        <w:rPr>
          <w:rFonts w:cs="宋体" w:hint="eastAsia"/>
          <w:kern w:val="0"/>
          <w:sz w:val="24"/>
          <w:szCs w:val="24"/>
        </w:rPr>
        <w:t>措施”。在金属粉尘、人员密集的</w:t>
      </w:r>
      <w:proofErr w:type="gramStart"/>
      <w:r w:rsidRPr="00EF37C3">
        <w:rPr>
          <w:rFonts w:cs="宋体" w:hint="eastAsia"/>
          <w:kern w:val="0"/>
          <w:sz w:val="24"/>
          <w:szCs w:val="24"/>
        </w:rPr>
        <w:t>粉尘涉爆企业</w:t>
      </w:r>
      <w:proofErr w:type="gramEnd"/>
      <w:r w:rsidRPr="00EF37C3">
        <w:rPr>
          <w:rFonts w:cs="宋体" w:hint="eastAsia"/>
          <w:kern w:val="0"/>
          <w:sz w:val="24"/>
          <w:szCs w:val="24"/>
        </w:rPr>
        <w:t>，推进湿法除尘工艺、作业空间物理隔离、“机械化换人、自动化减人”等方法，降低和消除风险。</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2.</w:t>
      </w:r>
      <w:r w:rsidRPr="00EF37C3">
        <w:rPr>
          <w:rFonts w:cs="宋体" w:hint="eastAsia"/>
          <w:kern w:val="0"/>
          <w:sz w:val="24"/>
          <w:szCs w:val="24"/>
        </w:rPr>
        <w:t>开展钢铁企业重大隐患整治。按照《国家安全监管总局国家煤矿安监局关于支持钢铁煤炭行业化解过剩产能实现脱困发展的意见》（安监</w:t>
      </w:r>
      <w:proofErr w:type="gramStart"/>
      <w:r w:rsidRPr="00EF37C3">
        <w:rPr>
          <w:rFonts w:cs="宋体" w:hint="eastAsia"/>
          <w:kern w:val="0"/>
          <w:sz w:val="24"/>
          <w:szCs w:val="24"/>
        </w:rPr>
        <w:t>总管四</w:t>
      </w:r>
      <w:proofErr w:type="gramEnd"/>
      <w:r w:rsidRPr="00EF37C3">
        <w:rPr>
          <w:rFonts w:cs="宋体" w:hint="eastAsia"/>
          <w:kern w:val="0"/>
          <w:sz w:val="24"/>
          <w:szCs w:val="24"/>
        </w:rPr>
        <w:t>〔</w:t>
      </w:r>
      <w:r w:rsidRPr="00EF37C3">
        <w:rPr>
          <w:rFonts w:ascii="Calibri" w:eastAsia="宋体" w:hAnsi="Calibri" w:cs="Calibri"/>
          <w:kern w:val="0"/>
          <w:sz w:val="24"/>
          <w:szCs w:val="24"/>
        </w:rPr>
        <w:t>2016</w:t>
      </w:r>
      <w:r w:rsidRPr="00EF37C3">
        <w:rPr>
          <w:rFonts w:cs="宋体" w:hint="eastAsia"/>
          <w:kern w:val="0"/>
          <w:sz w:val="24"/>
          <w:szCs w:val="24"/>
        </w:rPr>
        <w:t>〕</w:t>
      </w:r>
      <w:r w:rsidRPr="00EF37C3">
        <w:rPr>
          <w:rFonts w:ascii="Calibri" w:eastAsia="宋体" w:hAnsi="Calibri" w:cs="Calibri"/>
          <w:kern w:val="0"/>
          <w:sz w:val="24"/>
          <w:szCs w:val="24"/>
        </w:rPr>
        <w:t>38</w:t>
      </w:r>
      <w:r w:rsidRPr="00EF37C3">
        <w:rPr>
          <w:rFonts w:cs="宋体" w:hint="eastAsia"/>
          <w:kern w:val="0"/>
          <w:sz w:val="24"/>
          <w:szCs w:val="24"/>
        </w:rPr>
        <w:t>号）要求，对钢铁企业安全生产状况五个方面的问题和隐患进行重点整治，结合化解钢铁行业过剩产能，全面提高安全生产保障能力。</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3.</w:t>
      </w:r>
      <w:r w:rsidRPr="00EF37C3">
        <w:rPr>
          <w:rFonts w:cs="宋体" w:hint="eastAsia"/>
          <w:kern w:val="0"/>
          <w:sz w:val="24"/>
          <w:szCs w:val="24"/>
        </w:rPr>
        <w:t>继续落实涉氨制冷企业液氨使用重大事故隐患整改。按照《国务院安委会办公室关于督促涉氨制冷企业重大事故隐患整改加强安全监管工作的通知》（安委办函〔</w:t>
      </w:r>
      <w:r w:rsidRPr="00EF37C3">
        <w:rPr>
          <w:rFonts w:ascii="Calibri" w:eastAsia="宋体" w:hAnsi="Calibri" w:cs="Calibri"/>
          <w:kern w:val="0"/>
          <w:sz w:val="24"/>
          <w:szCs w:val="24"/>
        </w:rPr>
        <w:t>2016</w:t>
      </w:r>
      <w:r w:rsidRPr="00EF37C3">
        <w:rPr>
          <w:rFonts w:cs="宋体" w:hint="eastAsia"/>
          <w:kern w:val="0"/>
          <w:sz w:val="24"/>
          <w:szCs w:val="24"/>
        </w:rPr>
        <w:t>〕</w:t>
      </w:r>
      <w:r w:rsidRPr="00EF37C3">
        <w:rPr>
          <w:rFonts w:ascii="Calibri" w:eastAsia="宋体" w:hAnsi="Calibri" w:cs="Calibri"/>
          <w:kern w:val="0"/>
          <w:sz w:val="24"/>
          <w:szCs w:val="24"/>
        </w:rPr>
        <w:t>3</w:t>
      </w:r>
      <w:r w:rsidRPr="00EF37C3">
        <w:rPr>
          <w:rFonts w:cs="宋体" w:hint="eastAsia"/>
          <w:kern w:val="0"/>
          <w:sz w:val="24"/>
          <w:szCs w:val="24"/>
        </w:rPr>
        <w:t>号）要求，未完</w:t>
      </w:r>
      <w:proofErr w:type="gramStart"/>
      <w:r w:rsidRPr="00EF37C3">
        <w:rPr>
          <w:rFonts w:cs="宋体" w:hint="eastAsia"/>
          <w:kern w:val="0"/>
          <w:sz w:val="24"/>
          <w:szCs w:val="24"/>
        </w:rPr>
        <w:t>成涉氨</w:t>
      </w:r>
      <w:proofErr w:type="gramEnd"/>
      <w:r w:rsidRPr="00EF37C3">
        <w:rPr>
          <w:rFonts w:cs="宋体" w:hint="eastAsia"/>
          <w:kern w:val="0"/>
          <w:sz w:val="24"/>
          <w:szCs w:val="24"/>
        </w:rPr>
        <w:t>制冷企业包装间、分割间、产品整理间等人员较多生产场所采用</w:t>
      </w:r>
      <w:proofErr w:type="gramStart"/>
      <w:r w:rsidRPr="00EF37C3">
        <w:rPr>
          <w:rFonts w:cs="宋体" w:hint="eastAsia"/>
          <w:kern w:val="0"/>
          <w:sz w:val="24"/>
          <w:szCs w:val="24"/>
        </w:rPr>
        <w:t>氨直接</w:t>
      </w:r>
      <w:proofErr w:type="gramEnd"/>
      <w:r w:rsidRPr="00EF37C3">
        <w:rPr>
          <w:rFonts w:cs="宋体" w:hint="eastAsia"/>
          <w:kern w:val="0"/>
          <w:sz w:val="24"/>
          <w:szCs w:val="24"/>
        </w:rPr>
        <w:t>蒸发制冷空调系统和快速冻结装置未设置在单独作业间内</w:t>
      </w:r>
      <w:r w:rsidRPr="00EF37C3">
        <w:rPr>
          <w:rFonts w:cs="宋体" w:hint="eastAsia"/>
          <w:kern w:val="0"/>
          <w:sz w:val="24"/>
          <w:szCs w:val="24"/>
        </w:rPr>
        <w:lastRenderedPageBreak/>
        <w:t>的两类重大事故隐患的省份，要加大隐患整改力度，确保隐患限期整改验收到位；其他省份要对本辖区内两类重大事故隐患整改“回头看”，严防假整改、整改不到位或整改后又反弹现象发生。</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4.</w:t>
      </w:r>
      <w:r w:rsidRPr="00EF37C3">
        <w:rPr>
          <w:rFonts w:cs="宋体" w:hint="eastAsia"/>
          <w:kern w:val="0"/>
          <w:sz w:val="24"/>
          <w:szCs w:val="24"/>
        </w:rPr>
        <w:t>持续开展有限空间作业条件确认工作。按照《国家安全监管总局办公厅关于开展工贸企业有限空间作业条件确认工作的通知》（安监</w:t>
      </w:r>
      <w:proofErr w:type="gramStart"/>
      <w:r w:rsidRPr="00EF37C3">
        <w:rPr>
          <w:rFonts w:cs="宋体" w:hint="eastAsia"/>
          <w:kern w:val="0"/>
          <w:sz w:val="24"/>
          <w:szCs w:val="24"/>
        </w:rPr>
        <w:t>总管四</w:t>
      </w:r>
      <w:proofErr w:type="gramEnd"/>
      <w:r w:rsidRPr="00EF37C3">
        <w:rPr>
          <w:rFonts w:cs="宋体" w:hint="eastAsia"/>
          <w:kern w:val="0"/>
          <w:sz w:val="24"/>
          <w:szCs w:val="24"/>
        </w:rPr>
        <w:t>〔</w:t>
      </w:r>
      <w:r w:rsidRPr="00EF37C3">
        <w:rPr>
          <w:rFonts w:ascii="Calibri" w:eastAsia="宋体" w:hAnsi="Calibri" w:cs="Calibri"/>
          <w:kern w:val="0"/>
          <w:sz w:val="24"/>
          <w:szCs w:val="24"/>
        </w:rPr>
        <w:t>2014</w:t>
      </w:r>
      <w:r w:rsidRPr="00EF37C3">
        <w:rPr>
          <w:rFonts w:cs="宋体" w:hint="eastAsia"/>
          <w:kern w:val="0"/>
          <w:sz w:val="24"/>
          <w:szCs w:val="24"/>
        </w:rPr>
        <w:t>〕</w:t>
      </w:r>
      <w:r w:rsidRPr="00EF37C3">
        <w:rPr>
          <w:rFonts w:ascii="Calibri" w:eastAsia="宋体" w:hAnsi="Calibri" w:cs="Calibri"/>
          <w:kern w:val="0"/>
          <w:sz w:val="24"/>
          <w:szCs w:val="24"/>
        </w:rPr>
        <w:t>37</w:t>
      </w:r>
      <w:r w:rsidRPr="00EF37C3">
        <w:rPr>
          <w:rFonts w:cs="宋体" w:hint="eastAsia"/>
          <w:kern w:val="0"/>
          <w:sz w:val="24"/>
          <w:szCs w:val="24"/>
        </w:rPr>
        <w:t>号）要求，结合本地实际，针对重点行业存在问题，持续开展工贸企业有限空间作业条件确认工作。对已开展的造纸和酱腌菜生产企业有限空间作业条件确认重点工作专项检查和正在进行的工贸企业附属污水处理系统有限空间作业条件确认工作，要加大推动力度，确保工作质量。</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（三）构建风险隐患双重预防性工作机制。</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1.</w:t>
      </w:r>
      <w:r w:rsidRPr="00EF37C3">
        <w:rPr>
          <w:rFonts w:cs="宋体" w:hint="eastAsia"/>
          <w:kern w:val="0"/>
          <w:sz w:val="24"/>
          <w:szCs w:val="24"/>
        </w:rPr>
        <w:t>结合隐患排查治理体系建设关于“</w:t>
      </w:r>
      <w:proofErr w:type="gramStart"/>
      <w:r w:rsidRPr="00EF37C3">
        <w:rPr>
          <w:rFonts w:cs="宋体" w:hint="eastAsia"/>
          <w:kern w:val="0"/>
          <w:sz w:val="24"/>
          <w:szCs w:val="24"/>
        </w:rPr>
        <w:t>一</w:t>
      </w:r>
      <w:proofErr w:type="gramEnd"/>
      <w:r w:rsidRPr="00EF37C3">
        <w:rPr>
          <w:rFonts w:cs="宋体" w:hint="eastAsia"/>
          <w:kern w:val="0"/>
          <w:sz w:val="24"/>
          <w:szCs w:val="24"/>
        </w:rPr>
        <w:t>企业</w:t>
      </w:r>
      <w:proofErr w:type="gramStart"/>
      <w:r w:rsidRPr="00EF37C3">
        <w:rPr>
          <w:rFonts w:cs="宋体" w:hint="eastAsia"/>
          <w:kern w:val="0"/>
          <w:sz w:val="24"/>
          <w:szCs w:val="24"/>
        </w:rPr>
        <w:t>一</w:t>
      </w:r>
      <w:proofErr w:type="gramEnd"/>
      <w:r w:rsidRPr="00EF37C3">
        <w:rPr>
          <w:rFonts w:cs="宋体" w:hint="eastAsia"/>
          <w:kern w:val="0"/>
          <w:sz w:val="24"/>
          <w:szCs w:val="24"/>
        </w:rPr>
        <w:t>清单”要求，制定完善隐患排查行业标准和企业隐患排查清单编制指南，督促指导工贸企业编制完善符合本企业实际的隐患排查清单，明确排查隐患的事项、内容、频次，落实责任单位及责任人。</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2.</w:t>
      </w:r>
      <w:r w:rsidRPr="00EF37C3">
        <w:rPr>
          <w:rFonts w:cs="宋体" w:hint="eastAsia"/>
          <w:kern w:val="0"/>
          <w:sz w:val="24"/>
          <w:szCs w:val="24"/>
        </w:rPr>
        <w:t>将存在较大危险因素的场所、部位和环节作为工贸企业隐患自查自改自报工作的重点，实施风险等级管控，提高检查频次，督促企业严格落实隐患排查治理责任，及时发现并消除事故隐患，实现闭环管理。</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3.</w:t>
      </w:r>
      <w:r w:rsidRPr="00EF37C3">
        <w:rPr>
          <w:rFonts w:cs="宋体" w:hint="eastAsia"/>
          <w:kern w:val="0"/>
          <w:sz w:val="24"/>
          <w:szCs w:val="24"/>
        </w:rPr>
        <w:t>在深入排查摸底的基础上，按照《标本兼治遏制重特大事故工作指南》要求，建立出省、市、县工贸行业安全风险等级和重大事故隐患分布电子图，结合隐患排查治理体系建设要求，逐步建立完善安全风险和事故隐患数据库，作为今后执法检查的重要依据。</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ascii="Calibri" w:eastAsia="宋体" w:hAnsi="Calibri" w:cs="Calibri"/>
          <w:kern w:val="0"/>
          <w:sz w:val="24"/>
          <w:szCs w:val="24"/>
        </w:rPr>
        <w:t>4.</w:t>
      </w:r>
      <w:r w:rsidRPr="00EF37C3">
        <w:rPr>
          <w:rFonts w:cs="宋体" w:hint="eastAsia"/>
          <w:kern w:val="0"/>
          <w:sz w:val="24"/>
          <w:szCs w:val="24"/>
        </w:rPr>
        <w:t>结合企业较大危险因素辨识、管控和隐患排查治理情况，以及安全生产标准化建设水平，确定企业整体安全风险等级和类别，推动安全风险分级分类监管。</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三、工作要求</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（一）提高思想认识，加强组织领导。各地区要深刻认识工贸行业遏制重特大事故的重要性、紧迫性，认真吸取近年来发生的重特大事故教训，切实加强组织领导，层层推进，落实到企业。</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（二）落实工作责任，完善工作措施。各地区要结合本地区企业实际，因地制宜提出具体工作措施，并明确职责，做到有部署、有落实、有检查。</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lastRenderedPageBreak/>
        <w:t>（三）加强监督指导，推动工作落实。各地区要加强对遏制重特大事故工作任务落实情况的监督检查，督促指导工作措施落实，及时解决实施过程中存在的问题，并总结有效做法和典型经验，推动工作深入开展，确保遏制重特大事故工作取得成效。</w:t>
      </w:r>
    </w:p>
    <w:p w:rsidR="00EF37C3" w:rsidRPr="00EF37C3" w:rsidRDefault="00EF37C3" w:rsidP="00EF37C3">
      <w:pPr>
        <w:widowControl/>
        <w:spacing w:afterLines="100" w:after="240" w:line="380" w:lineRule="exact"/>
        <w:ind w:firstLineChars="200" w:firstLine="480"/>
        <w:jc w:val="left"/>
        <w:rPr>
          <w:rFonts w:ascii="宋体" w:eastAsia="宋体" w:hAnsi="宋体" w:cs="宋体"/>
          <w:kern w:val="0"/>
          <w:sz w:val="24"/>
          <w:szCs w:val="24"/>
        </w:rPr>
      </w:pPr>
      <w:r w:rsidRPr="00EF37C3">
        <w:rPr>
          <w:rFonts w:cs="宋体" w:hint="eastAsia"/>
          <w:kern w:val="0"/>
          <w:sz w:val="24"/>
          <w:szCs w:val="24"/>
        </w:rPr>
        <w:t>附件</w:t>
      </w:r>
      <w:r w:rsidRPr="00EF37C3">
        <w:rPr>
          <w:rFonts w:ascii="Calibri" w:eastAsia="宋体" w:hAnsi="Calibri" w:cs="Calibri"/>
          <w:kern w:val="0"/>
          <w:sz w:val="24"/>
          <w:szCs w:val="24"/>
        </w:rPr>
        <w:t>:</w:t>
      </w:r>
      <w:hyperlink r:id="rId5" w:tgtFrame="_blank" w:history="1">
        <w:r w:rsidRPr="00EF37C3">
          <w:rPr>
            <w:rFonts w:cs="宋体" w:hint="eastAsia"/>
            <w:color w:val="0000FF"/>
            <w:kern w:val="0"/>
            <w:sz w:val="24"/>
            <w:szCs w:val="24"/>
            <w:u w:val="single"/>
          </w:rPr>
          <w:t>《工贸行业较大危险因素辨识与防范指导手册（</w:t>
        </w:r>
        <w:r w:rsidRPr="00EF37C3">
          <w:rPr>
            <w:rFonts w:ascii="Calibri" w:hAnsi="Calibri" w:cs="Calibri" w:hint="eastAsia"/>
            <w:color w:val="0000FF"/>
            <w:kern w:val="0"/>
            <w:sz w:val="24"/>
            <w:szCs w:val="24"/>
            <w:u w:val="single"/>
          </w:rPr>
          <w:t>2016</w:t>
        </w:r>
        <w:r w:rsidRPr="00EF37C3">
          <w:rPr>
            <w:rFonts w:cs="宋体" w:hint="eastAsia"/>
            <w:color w:val="0000FF"/>
            <w:kern w:val="0"/>
            <w:sz w:val="24"/>
            <w:szCs w:val="24"/>
            <w:u w:val="single"/>
          </w:rPr>
          <w:t>版）》使用指南</w:t>
        </w:r>
      </w:hyperlink>
    </w:p>
    <w:p w:rsidR="00EF37C3" w:rsidRDefault="00EF37C3">
      <w:pPr>
        <w:widowControl/>
        <w:jc w:val="left"/>
      </w:pPr>
      <w:r>
        <w:br w:type="page"/>
      </w:r>
    </w:p>
    <w:p w:rsidR="00EF37C3" w:rsidRPr="00353B67" w:rsidRDefault="00EF37C3" w:rsidP="00EF37C3">
      <w:pPr>
        <w:widowControl/>
        <w:shd w:val="clear" w:color="auto" w:fill="F4FAFF"/>
        <w:snapToGrid w:val="0"/>
        <w:spacing w:before="100" w:beforeAutospacing="1" w:after="100" w:afterAutospacing="1" w:line="432" w:lineRule="auto"/>
        <w:rPr>
          <w:rFonts w:ascii="黑体" w:eastAsia="黑体" w:hAnsi="黑体" w:cs="宋体"/>
          <w:kern w:val="0"/>
          <w:sz w:val="36"/>
          <w:szCs w:val="36"/>
        </w:rPr>
      </w:pPr>
      <w:r w:rsidRPr="00353B67">
        <w:rPr>
          <w:rFonts w:ascii="黑体" w:eastAsia="黑体" w:hAnsi="黑体" w:cs="宋体" w:hint="eastAsia"/>
          <w:kern w:val="0"/>
          <w:sz w:val="36"/>
          <w:szCs w:val="36"/>
        </w:rPr>
        <w:lastRenderedPageBreak/>
        <w:t>附件</w:t>
      </w:r>
    </w:p>
    <w:p w:rsidR="00EF37C3" w:rsidRPr="00353B67" w:rsidRDefault="00EF37C3" w:rsidP="00EF37C3">
      <w:pPr>
        <w:widowControl/>
        <w:shd w:val="clear" w:color="auto" w:fill="F4FAFF"/>
        <w:spacing w:before="100" w:beforeAutospacing="1" w:after="100" w:afterAutospacing="1" w:line="560" w:lineRule="exact"/>
        <w:jc w:val="center"/>
        <w:rPr>
          <w:rFonts w:ascii="华文中宋" w:eastAsia="华文中宋" w:hAnsi="华文中宋" w:cs="宋体" w:hint="eastAsia"/>
          <w:kern w:val="0"/>
          <w:sz w:val="44"/>
          <w:szCs w:val="44"/>
        </w:rPr>
      </w:pPr>
      <w:proofErr w:type="gramStart"/>
      <w:r w:rsidRPr="00353B67">
        <w:rPr>
          <w:rFonts w:ascii="华文中宋" w:eastAsia="华文中宋" w:hAnsi="华文中宋" w:cs="宋体" w:hint="eastAsia"/>
          <w:kern w:val="0"/>
          <w:sz w:val="44"/>
          <w:szCs w:val="44"/>
        </w:rPr>
        <w:t>《</w:t>
      </w:r>
      <w:proofErr w:type="gramEnd"/>
      <w:r w:rsidRPr="00353B67">
        <w:rPr>
          <w:rFonts w:ascii="华文中宋" w:eastAsia="华文中宋" w:hAnsi="华文中宋" w:cs="宋体" w:hint="eastAsia"/>
          <w:kern w:val="0"/>
          <w:sz w:val="44"/>
          <w:szCs w:val="44"/>
        </w:rPr>
        <w:t>工贸行业较大危险因素辨识与防范</w:t>
      </w:r>
    </w:p>
    <w:p w:rsidR="00EF37C3" w:rsidRPr="00353B67" w:rsidRDefault="00EF37C3" w:rsidP="00EF37C3">
      <w:pPr>
        <w:widowControl/>
        <w:shd w:val="clear" w:color="auto" w:fill="F4FAFF"/>
        <w:spacing w:before="100" w:beforeAutospacing="1" w:after="100" w:afterAutospacing="1" w:line="560" w:lineRule="exact"/>
        <w:jc w:val="center"/>
        <w:rPr>
          <w:rFonts w:ascii="华文中宋" w:eastAsia="华文中宋" w:hAnsi="华文中宋" w:cs="宋体" w:hint="eastAsia"/>
          <w:kern w:val="0"/>
          <w:sz w:val="44"/>
          <w:szCs w:val="44"/>
        </w:rPr>
      </w:pPr>
      <w:r w:rsidRPr="00353B67">
        <w:rPr>
          <w:rFonts w:ascii="华文中宋" w:eastAsia="华文中宋" w:hAnsi="华文中宋" w:cs="宋体" w:hint="eastAsia"/>
          <w:kern w:val="0"/>
          <w:sz w:val="44"/>
          <w:szCs w:val="44"/>
        </w:rPr>
        <w:t>指导手册（2016版）</w:t>
      </w:r>
      <w:proofErr w:type="gramStart"/>
      <w:r w:rsidRPr="00353B67">
        <w:rPr>
          <w:rFonts w:ascii="华文中宋" w:eastAsia="华文中宋" w:hAnsi="华文中宋" w:cs="宋体" w:hint="eastAsia"/>
          <w:kern w:val="0"/>
          <w:sz w:val="44"/>
          <w:szCs w:val="44"/>
        </w:rPr>
        <w:t>》</w:t>
      </w:r>
      <w:proofErr w:type="gramEnd"/>
      <w:r w:rsidRPr="00353B67">
        <w:rPr>
          <w:rFonts w:ascii="华文中宋" w:eastAsia="华文中宋" w:hAnsi="华文中宋" w:cs="宋体" w:hint="eastAsia"/>
          <w:kern w:val="0"/>
          <w:sz w:val="44"/>
          <w:szCs w:val="44"/>
        </w:rPr>
        <w:t>使用指南</w:t>
      </w:r>
    </w:p>
    <w:p w:rsidR="00EF37C3" w:rsidRPr="00353B67" w:rsidRDefault="00EF37C3" w:rsidP="00EF37C3">
      <w:pPr>
        <w:widowControl/>
        <w:shd w:val="clear" w:color="auto" w:fill="F4FAFF"/>
        <w:tabs>
          <w:tab w:val="left" w:pos="1245"/>
        </w:tabs>
        <w:spacing w:before="100" w:beforeAutospacing="1" w:after="100" w:afterAutospacing="1" w:line="560" w:lineRule="exact"/>
        <w:rPr>
          <w:rFonts w:ascii="华文中宋" w:eastAsia="华文中宋" w:hAnsi="华文中宋" w:cs="宋体" w:hint="eastAsia"/>
          <w:kern w:val="0"/>
          <w:sz w:val="40"/>
          <w:szCs w:val="32"/>
        </w:rPr>
      </w:pPr>
      <w:r w:rsidRPr="00353B67">
        <w:rPr>
          <w:rFonts w:ascii="华文中宋" w:eastAsia="华文中宋" w:hAnsi="华文中宋" w:cs="宋体" w:hint="eastAsia"/>
          <w:kern w:val="0"/>
          <w:sz w:val="40"/>
          <w:szCs w:val="32"/>
        </w:rPr>
        <w:tab/>
      </w:r>
    </w:p>
    <w:p w:rsidR="00EF37C3" w:rsidRPr="00353B67" w:rsidRDefault="00EF37C3" w:rsidP="00EF37C3">
      <w:pPr>
        <w:widowControl/>
        <w:shd w:val="clear" w:color="auto" w:fill="F4FAFF"/>
        <w:snapToGrid w:val="0"/>
        <w:spacing w:line="600" w:lineRule="exact"/>
        <w:ind w:firstLineChars="200" w:firstLine="720"/>
        <w:outlineLvl w:val="0"/>
        <w:rPr>
          <w:rFonts w:ascii="黑体" w:eastAsia="黑体" w:hAnsi="黑体" w:cs="宋体" w:hint="eastAsia"/>
          <w:bCs/>
          <w:kern w:val="36"/>
          <w:sz w:val="36"/>
          <w:szCs w:val="36"/>
        </w:rPr>
      </w:pPr>
      <w:r w:rsidRPr="00353B67">
        <w:rPr>
          <w:rFonts w:ascii="黑体" w:eastAsia="黑体" w:hAnsi="黑体" w:cs="宋体" w:hint="eastAsia"/>
          <w:bCs/>
          <w:kern w:val="36"/>
          <w:sz w:val="36"/>
          <w:szCs w:val="36"/>
        </w:rPr>
        <w:t>一、适用范围</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Times New Roman" w:cs="宋体" w:hint="eastAsia"/>
          <w:kern w:val="0"/>
          <w:sz w:val="36"/>
          <w:szCs w:val="36"/>
        </w:rPr>
      </w:pPr>
      <w:r w:rsidRPr="00353B67">
        <w:rPr>
          <w:rFonts w:ascii="仿宋_GB2312" w:eastAsia="仿宋_GB2312" w:hAnsi="宋体" w:cs="宋体" w:hint="eastAsia"/>
          <w:kern w:val="0"/>
          <w:sz w:val="36"/>
          <w:szCs w:val="36"/>
        </w:rPr>
        <w:t>适用于指导冶金、有色、建材、机械、轻工、纺织等工贸行业企业班组和岗位人员使用《工贸行业较大危险因素辨识与防范指导手册（2016版）》（</w:t>
      </w:r>
      <w:r w:rsidRPr="00353B67">
        <w:rPr>
          <w:rFonts w:ascii="仿宋_GB2312" w:eastAsia="仿宋_GB2312" w:hAnsi="仿宋" w:cs="宋体" w:hint="eastAsia"/>
          <w:kern w:val="0"/>
          <w:sz w:val="36"/>
          <w:szCs w:val="36"/>
        </w:rPr>
        <w:t>安监</w:t>
      </w:r>
      <w:proofErr w:type="gramStart"/>
      <w:r w:rsidRPr="00353B67">
        <w:rPr>
          <w:rFonts w:ascii="仿宋_GB2312" w:eastAsia="仿宋_GB2312" w:hAnsi="仿宋" w:cs="宋体" w:hint="eastAsia"/>
          <w:kern w:val="0"/>
          <w:sz w:val="36"/>
          <w:szCs w:val="36"/>
        </w:rPr>
        <w:t>总管四</w:t>
      </w:r>
      <w:proofErr w:type="gramEnd"/>
      <w:r w:rsidRPr="00353B67">
        <w:rPr>
          <w:rFonts w:ascii="仿宋_GB2312" w:eastAsia="仿宋_GB2312" w:hAnsi="仿宋" w:cs="宋体" w:hint="eastAsia"/>
          <w:kern w:val="0"/>
          <w:sz w:val="36"/>
          <w:szCs w:val="36"/>
        </w:rPr>
        <w:t>〔2016〕31号文件附件，</w:t>
      </w:r>
      <w:r w:rsidRPr="00353B67">
        <w:rPr>
          <w:rFonts w:ascii="仿宋_GB2312" w:eastAsia="仿宋_GB2312" w:hAnsi="宋体" w:cs="宋体" w:hint="eastAsia"/>
          <w:kern w:val="0"/>
          <w:sz w:val="36"/>
          <w:szCs w:val="36"/>
        </w:rPr>
        <w:t>以下简称《手册》），自主开展岗位危险因素辨识与防范工作，确定和控制生产经营过程中的较大危险因素。</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Times New Roman" w:hint="eastAsia"/>
          <w:kern w:val="0"/>
          <w:sz w:val="36"/>
          <w:szCs w:val="36"/>
        </w:rPr>
      </w:pPr>
      <w:r w:rsidRPr="00353B67">
        <w:rPr>
          <w:rFonts w:ascii="仿宋_GB2312" w:eastAsia="仿宋_GB2312" w:hAnsi="宋体" w:cs="宋体" w:hint="eastAsia"/>
          <w:kern w:val="0"/>
          <w:sz w:val="36"/>
          <w:szCs w:val="36"/>
        </w:rPr>
        <w:t>企业在开展较大危险因素辨识与防范工作时，应充分结合安全生产标准化创建与运行、隐患排查治理体系建设岗位清单制定工作，统一部署，整体推动。</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kern w:val="0"/>
          <w:sz w:val="36"/>
          <w:szCs w:val="36"/>
        </w:rPr>
      </w:pPr>
      <w:r w:rsidRPr="00353B67">
        <w:rPr>
          <w:rFonts w:ascii="仿宋_GB2312" w:eastAsia="仿宋_GB2312" w:hAnsi="宋体" w:cs="宋体" w:hint="eastAsia"/>
          <w:kern w:val="0"/>
          <w:sz w:val="36"/>
          <w:szCs w:val="36"/>
        </w:rPr>
        <w:t>对已经开展了危险因素辨识和风险评价工作的企业，可以将辨识评价工作与《手册》的使用有机结合，将《手册》中的内容融入到企业危险因素辨识与防范工作中。</w:t>
      </w:r>
    </w:p>
    <w:p w:rsidR="00EF37C3" w:rsidRPr="00353B67" w:rsidRDefault="00EF37C3" w:rsidP="00EF37C3">
      <w:pPr>
        <w:widowControl/>
        <w:shd w:val="clear" w:color="auto" w:fill="F4FAFF"/>
        <w:snapToGrid w:val="0"/>
        <w:spacing w:line="600" w:lineRule="exact"/>
        <w:ind w:firstLineChars="200" w:firstLine="720"/>
        <w:outlineLvl w:val="0"/>
        <w:rPr>
          <w:rFonts w:ascii="黑体" w:eastAsia="黑体" w:hAnsi="黑体" w:cs="宋体" w:hint="eastAsia"/>
          <w:bCs/>
          <w:kern w:val="36"/>
          <w:sz w:val="36"/>
          <w:szCs w:val="36"/>
        </w:rPr>
      </w:pPr>
      <w:r w:rsidRPr="00353B67">
        <w:rPr>
          <w:rFonts w:ascii="黑体" w:eastAsia="黑体" w:hAnsi="黑体" w:cs="宋体" w:hint="eastAsia"/>
          <w:bCs/>
          <w:kern w:val="36"/>
          <w:sz w:val="36"/>
          <w:szCs w:val="36"/>
        </w:rPr>
        <w:lastRenderedPageBreak/>
        <w:t>二、术语和定义</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Times New Roman" w:cs="宋体" w:hint="eastAsia"/>
          <w:kern w:val="0"/>
          <w:sz w:val="36"/>
          <w:szCs w:val="36"/>
        </w:rPr>
      </w:pPr>
      <w:r w:rsidRPr="00353B67">
        <w:rPr>
          <w:rFonts w:ascii="楷体_GB2312" w:eastAsia="楷体_GB2312" w:hAnsi="宋体" w:cs="宋体" w:hint="eastAsia"/>
          <w:b/>
          <w:kern w:val="0"/>
          <w:sz w:val="36"/>
        </w:rPr>
        <w:t>（一）较大危险因素</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可能发生较大以上事故的生产作业场所、环节、部位和作业行为。</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t>（二）较大危险因素辨识与防范。</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24"/>
          <w:szCs w:val="24"/>
        </w:rPr>
      </w:pPr>
      <w:r w:rsidRPr="00353B67">
        <w:rPr>
          <w:rFonts w:ascii="仿宋_GB2312" w:eastAsia="仿宋_GB2312" w:hAnsi="宋体" w:cs="宋体" w:hint="eastAsia"/>
          <w:kern w:val="0"/>
          <w:sz w:val="36"/>
          <w:szCs w:val="36"/>
        </w:rPr>
        <w:t>识别较大危险因素的位置及特性、可能导致事故后果以及确认其风险控制措施和管</w:t>
      </w:r>
      <w:proofErr w:type="gramStart"/>
      <w:r w:rsidRPr="00353B67">
        <w:rPr>
          <w:rFonts w:ascii="仿宋_GB2312" w:eastAsia="仿宋_GB2312" w:hAnsi="宋体" w:cs="宋体" w:hint="eastAsia"/>
          <w:kern w:val="0"/>
          <w:sz w:val="36"/>
          <w:szCs w:val="36"/>
        </w:rPr>
        <w:t>控状态</w:t>
      </w:r>
      <w:proofErr w:type="gramEnd"/>
      <w:r w:rsidRPr="00353B67">
        <w:rPr>
          <w:rFonts w:ascii="仿宋_GB2312" w:eastAsia="仿宋_GB2312" w:hAnsi="宋体" w:cs="宋体" w:hint="eastAsia"/>
          <w:kern w:val="0"/>
          <w:sz w:val="36"/>
          <w:szCs w:val="36"/>
        </w:rPr>
        <w:t>的过程。</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t>（三）风险。</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t>某一特定危险发生的可能性与其造成后果的严重程度的结合。</w:t>
      </w:r>
    </w:p>
    <w:p w:rsidR="00EF37C3" w:rsidRPr="00353B67" w:rsidRDefault="00EF37C3" w:rsidP="00EF37C3">
      <w:pPr>
        <w:widowControl/>
        <w:shd w:val="clear" w:color="auto" w:fill="F4FAFF"/>
        <w:snapToGrid w:val="0"/>
        <w:spacing w:line="600" w:lineRule="exact"/>
        <w:ind w:firstLineChars="200" w:firstLine="720"/>
        <w:outlineLvl w:val="0"/>
        <w:rPr>
          <w:rFonts w:ascii="黑体" w:eastAsia="黑体" w:hAnsi="黑体" w:cs="宋体"/>
          <w:bCs/>
          <w:kern w:val="36"/>
          <w:sz w:val="36"/>
          <w:szCs w:val="36"/>
        </w:rPr>
      </w:pPr>
      <w:r w:rsidRPr="00353B67">
        <w:rPr>
          <w:rFonts w:ascii="黑体" w:eastAsia="黑体" w:hAnsi="黑体" w:cs="宋体" w:hint="eastAsia"/>
          <w:bCs/>
          <w:kern w:val="36"/>
          <w:sz w:val="36"/>
          <w:szCs w:val="36"/>
        </w:rPr>
        <w:t>三、手册获取</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Times New Roman" w:cs="宋体" w:hint="eastAsia"/>
          <w:kern w:val="0"/>
          <w:sz w:val="36"/>
          <w:szCs w:val="36"/>
        </w:rPr>
      </w:pPr>
      <w:r w:rsidRPr="00353B67">
        <w:rPr>
          <w:rFonts w:ascii="仿宋_GB2312" w:eastAsia="仿宋_GB2312" w:hAnsi="宋体" w:cs="宋体" w:hint="eastAsia"/>
          <w:kern w:val="0"/>
          <w:sz w:val="36"/>
          <w:szCs w:val="36"/>
        </w:rPr>
        <w:t>企业登录国家安全监管总局网站进入“监管四司”子站，查询到《国家安全监管总局关于印发开展工贸企业较大危险因素辨识管控提升防范事故能力行动计划的通知》（安监</w:t>
      </w:r>
      <w:proofErr w:type="gramStart"/>
      <w:r w:rsidRPr="00353B67">
        <w:rPr>
          <w:rFonts w:ascii="仿宋_GB2312" w:eastAsia="仿宋_GB2312" w:hAnsi="宋体" w:cs="宋体" w:hint="eastAsia"/>
          <w:kern w:val="0"/>
          <w:sz w:val="36"/>
          <w:szCs w:val="36"/>
        </w:rPr>
        <w:t>总管四</w:t>
      </w:r>
      <w:proofErr w:type="gramEnd"/>
      <w:r w:rsidRPr="00353B67">
        <w:rPr>
          <w:rFonts w:ascii="仿宋_GB2312" w:eastAsia="仿宋_GB2312" w:hAnsi="宋体" w:cs="宋体" w:hint="eastAsia"/>
          <w:kern w:val="0"/>
          <w:sz w:val="36"/>
          <w:szCs w:val="36"/>
        </w:rPr>
        <w:t>〔2016〕31号），按本企业所属行业下载相应《手册》；也可以其他方式获取。</w:t>
      </w:r>
    </w:p>
    <w:p w:rsidR="00EF37C3" w:rsidRPr="00353B67" w:rsidRDefault="00EF37C3" w:rsidP="00EF37C3">
      <w:pPr>
        <w:widowControl/>
        <w:shd w:val="clear" w:color="auto" w:fill="F4FAFF"/>
        <w:snapToGrid w:val="0"/>
        <w:spacing w:line="600" w:lineRule="exact"/>
        <w:ind w:firstLineChars="200" w:firstLine="720"/>
        <w:outlineLvl w:val="0"/>
        <w:rPr>
          <w:rFonts w:ascii="黑体" w:eastAsia="黑体" w:hAnsi="黑体" w:cs="宋体" w:hint="eastAsia"/>
          <w:bCs/>
          <w:kern w:val="36"/>
          <w:sz w:val="36"/>
          <w:szCs w:val="36"/>
        </w:rPr>
      </w:pPr>
      <w:r w:rsidRPr="00353B67">
        <w:rPr>
          <w:rFonts w:ascii="黑体" w:eastAsia="黑体" w:hAnsi="黑体" w:cs="宋体" w:hint="eastAsia"/>
          <w:bCs/>
          <w:kern w:val="36"/>
          <w:sz w:val="36"/>
          <w:szCs w:val="36"/>
        </w:rPr>
        <w:t>四、手册学习</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Times New Roman" w:cs="宋体" w:hint="eastAsia"/>
          <w:kern w:val="0"/>
          <w:sz w:val="36"/>
          <w:szCs w:val="36"/>
        </w:rPr>
      </w:pPr>
      <w:r w:rsidRPr="00353B67">
        <w:rPr>
          <w:rFonts w:ascii="仿宋_GB2312" w:eastAsia="仿宋_GB2312" w:hAnsi="宋体" w:cs="宋体" w:hint="eastAsia"/>
          <w:kern w:val="0"/>
          <w:sz w:val="36"/>
          <w:szCs w:val="36"/>
        </w:rPr>
        <w:lastRenderedPageBreak/>
        <w:t>企业根据本单位安全生产教育培训的有关规定，确定时间和方式，在班组中统</w:t>
      </w:r>
      <w:proofErr w:type="gramStart"/>
      <w:r w:rsidRPr="00353B67">
        <w:rPr>
          <w:rFonts w:ascii="仿宋_GB2312" w:eastAsia="仿宋_GB2312" w:hAnsi="宋体" w:cs="宋体" w:hint="eastAsia"/>
          <w:kern w:val="0"/>
          <w:sz w:val="36"/>
          <w:szCs w:val="36"/>
        </w:rPr>
        <w:t>一</w:t>
      </w:r>
      <w:proofErr w:type="gramEnd"/>
      <w:r w:rsidRPr="00353B67">
        <w:rPr>
          <w:rFonts w:ascii="仿宋_GB2312" w:eastAsia="仿宋_GB2312" w:hAnsi="宋体" w:cs="宋体" w:hint="eastAsia"/>
          <w:kern w:val="0"/>
          <w:sz w:val="36"/>
          <w:szCs w:val="36"/>
        </w:rPr>
        <w:t>组织《手册》的学习，班组长或安全员负责讲解，并结合岗位员工的自主学习，达到以下要求：</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1.确定《手册》与本班组岗位工作的适用性；</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2.各岗位操作人员必须熟练掌握《手册》中与本岗位的相关内容；</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3.学习中发现的不清楚的问题须通过讨论和咨询（由上级提供帮助）得到解决。</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学习的时间长短和次数根据实际需要确定，以完成上述要求为准。</w:t>
      </w:r>
    </w:p>
    <w:p w:rsidR="00EF37C3" w:rsidRPr="00353B67" w:rsidRDefault="00EF37C3" w:rsidP="00EF37C3">
      <w:pPr>
        <w:widowControl/>
        <w:shd w:val="clear" w:color="auto" w:fill="F4FAFF"/>
        <w:snapToGrid w:val="0"/>
        <w:spacing w:line="600" w:lineRule="exact"/>
        <w:ind w:firstLineChars="200" w:firstLine="720"/>
        <w:outlineLvl w:val="0"/>
        <w:rPr>
          <w:rFonts w:ascii="黑体" w:eastAsia="黑体" w:hAnsi="黑体" w:cs="宋体" w:hint="eastAsia"/>
          <w:bCs/>
          <w:kern w:val="36"/>
          <w:sz w:val="36"/>
          <w:szCs w:val="36"/>
        </w:rPr>
      </w:pPr>
      <w:r w:rsidRPr="00353B67">
        <w:rPr>
          <w:rFonts w:ascii="黑体" w:eastAsia="黑体" w:hAnsi="黑体" w:cs="宋体" w:hint="eastAsia"/>
          <w:bCs/>
          <w:kern w:val="36"/>
          <w:sz w:val="36"/>
          <w:szCs w:val="36"/>
        </w:rPr>
        <w:t>五、手册使用</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t>（一）现场对比。</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24"/>
          <w:szCs w:val="24"/>
        </w:rPr>
      </w:pPr>
      <w:r w:rsidRPr="00353B67">
        <w:rPr>
          <w:rFonts w:ascii="仿宋_GB2312" w:eastAsia="仿宋_GB2312" w:hAnsi="宋体" w:cs="宋体" w:hint="eastAsia"/>
          <w:kern w:val="0"/>
          <w:sz w:val="36"/>
          <w:szCs w:val="36"/>
        </w:rPr>
        <w:t>企业统一部署，由班组安排具体时间，组织各岗位人员，持各自的《手册》，根据之前学习中初步确定的与本班组相关的各个条目内容，一一对照各自岗位的实际情况，包括生产经营活动过程中本“场所/环节/部位”所有的设施设备、操作、作业环境等现状，确定：</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lastRenderedPageBreak/>
        <w:t>1.在实际中是否存在《手册》描述的各个“较大危险因素”，或者是否有相近的情况；</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2.讨论实际情况与《手册》内容的不同点，确定更多相似和相关的“较大危险因素”状况；</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3.本班组的“较大危险因素”已采取的安全措施与《手册》中相应的“主要防范措施”的不同点；</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在现场进行对比工作的时候，要及时、准确和细致地做好记录。</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Times New Roman" w:eastAsia="楷体" w:hint="eastAsia"/>
          <w:b/>
          <w:kern w:val="0"/>
          <w:sz w:val="24"/>
          <w:szCs w:val="24"/>
        </w:rPr>
      </w:pPr>
      <w:r w:rsidRPr="00353B67">
        <w:rPr>
          <w:rFonts w:ascii="楷体_GB2312" w:eastAsia="楷体_GB2312" w:hAnsi="宋体" w:cs="宋体" w:hint="eastAsia"/>
          <w:b/>
          <w:kern w:val="0"/>
          <w:sz w:val="36"/>
        </w:rPr>
        <w:t>（二）填写内容。</w:t>
      </w:r>
    </w:p>
    <w:p w:rsidR="00EF37C3" w:rsidRPr="00353B67" w:rsidRDefault="00EF37C3" w:rsidP="00EF37C3">
      <w:pPr>
        <w:widowControl/>
        <w:shd w:val="clear" w:color="auto" w:fill="F4FAFF"/>
        <w:spacing w:before="100" w:beforeAutospacing="1" w:after="100" w:afterAutospacing="1" w:line="600" w:lineRule="exact"/>
        <w:ind w:firstLine="638"/>
        <w:rPr>
          <w:rFonts w:ascii="仿宋_GB2312" w:eastAsia="仿宋_GB2312" w:hAnsi="宋体" w:cs="宋体"/>
          <w:b/>
          <w:kern w:val="0"/>
          <w:sz w:val="36"/>
        </w:rPr>
      </w:pPr>
      <w:r w:rsidRPr="00353B67">
        <w:rPr>
          <w:rFonts w:ascii="仿宋_GB2312" w:eastAsia="仿宋_GB2312" w:hAnsi="宋体" w:cs="宋体" w:hint="eastAsia"/>
          <w:b/>
          <w:kern w:val="0"/>
          <w:sz w:val="36"/>
        </w:rPr>
        <w:t>1.制作《登记表》</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kern w:val="0"/>
          <w:sz w:val="24"/>
          <w:szCs w:val="24"/>
        </w:rPr>
      </w:pPr>
      <w:r w:rsidRPr="00353B67">
        <w:rPr>
          <w:rFonts w:ascii="仿宋_GB2312" w:eastAsia="仿宋_GB2312" w:hAnsi="宋体" w:cs="宋体" w:hint="eastAsia"/>
          <w:kern w:val="0"/>
          <w:sz w:val="36"/>
          <w:szCs w:val="36"/>
        </w:rPr>
        <w:t>可按《手册》的原有格式形式，设计制作本单位《较大危险因素辨识与防范控制措施登记表》，格式参见附件1。</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b/>
          <w:kern w:val="0"/>
          <w:sz w:val="24"/>
          <w:szCs w:val="24"/>
        </w:rPr>
      </w:pPr>
      <w:r w:rsidRPr="00353B67">
        <w:rPr>
          <w:rFonts w:ascii="仿宋_GB2312" w:eastAsia="仿宋_GB2312" w:hAnsi="宋体" w:cs="宋体" w:hint="eastAsia"/>
          <w:b/>
          <w:kern w:val="0"/>
          <w:sz w:val="36"/>
        </w:rPr>
        <w:t>2.确认“场所/环节/部位”和“较大危险因素”</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kern w:val="0"/>
          <w:sz w:val="24"/>
          <w:szCs w:val="24"/>
        </w:rPr>
      </w:pPr>
      <w:r w:rsidRPr="00353B67">
        <w:rPr>
          <w:rFonts w:ascii="仿宋_GB2312" w:eastAsia="仿宋_GB2312" w:hAnsi="宋体" w:cs="宋体" w:hint="eastAsia"/>
          <w:kern w:val="0"/>
          <w:sz w:val="36"/>
          <w:szCs w:val="36"/>
        </w:rPr>
        <w:t>根据现场对比记录，班组将实际存在的与《手册》相应或相近的“场所/环节/部位”中的“较大危险因素”</w:t>
      </w:r>
      <w:r w:rsidRPr="00353B67">
        <w:rPr>
          <w:rFonts w:ascii="仿宋_GB2312" w:eastAsia="仿宋_GB2312" w:hAnsi="宋体" w:cs="宋体" w:hint="eastAsia"/>
          <w:kern w:val="0"/>
          <w:sz w:val="36"/>
          <w:szCs w:val="36"/>
        </w:rPr>
        <w:lastRenderedPageBreak/>
        <w:t>在表中一一列出，注意填写时要将本班组现场实际情况写入登记表。</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b/>
          <w:kern w:val="0"/>
          <w:sz w:val="24"/>
          <w:szCs w:val="24"/>
        </w:rPr>
      </w:pPr>
      <w:r w:rsidRPr="00353B67">
        <w:rPr>
          <w:rFonts w:ascii="仿宋_GB2312" w:eastAsia="仿宋_GB2312" w:hAnsi="宋体" w:cs="宋体" w:hint="eastAsia"/>
          <w:b/>
          <w:kern w:val="0"/>
          <w:sz w:val="36"/>
        </w:rPr>
        <w:t>3.讨论“易发生的事故类型”</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kern w:val="0"/>
          <w:sz w:val="24"/>
          <w:szCs w:val="24"/>
        </w:rPr>
      </w:pPr>
      <w:r w:rsidRPr="00353B67">
        <w:rPr>
          <w:rFonts w:ascii="仿宋_GB2312" w:eastAsia="仿宋_GB2312" w:hAnsi="宋体" w:cs="宋体" w:hint="eastAsia"/>
          <w:kern w:val="0"/>
          <w:sz w:val="36"/>
          <w:szCs w:val="36"/>
        </w:rPr>
        <w:t>针对“较大危险因素”，组织班组员工讨论相应的“易发生的事故类型”，很可能本班组的“较大危险因素”会引起更多种类的事故，还有对周边的影响。将这些可能的后果填入“易发生的事故类型”部分。</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b/>
          <w:kern w:val="0"/>
          <w:sz w:val="24"/>
          <w:szCs w:val="24"/>
        </w:rPr>
      </w:pPr>
      <w:r w:rsidRPr="00353B67">
        <w:rPr>
          <w:rFonts w:ascii="仿宋_GB2312" w:eastAsia="仿宋_GB2312" w:hAnsi="宋体" w:cs="宋体" w:hint="eastAsia"/>
          <w:b/>
          <w:kern w:val="0"/>
          <w:sz w:val="36"/>
        </w:rPr>
        <w:t>4.明确“主要防范措施”</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kern w:val="0"/>
          <w:sz w:val="24"/>
          <w:szCs w:val="24"/>
        </w:rPr>
      </w:pPr>
      <w:r w:rsidRPr="00353B67">
        <w:rPr>
          <w:rFonts w:ascii="仿宋_GB2312" w:eastAsia="仿宋_GB2312" w:hAnsi="宋体" w:cs="宋体" w:hint="eastAsia"/>
          <w:kern w:val="0"/>
          <w:sz w:val="36"/>
          <w:szCs w:val="36"/>
        </w:rPr>
        <w:t>对照《手册》中的防范措施对当前较大危险因素的管控措施进行查漏补缺。由于《手册》中防范措施具有普遍性，本班组实际上会有更多、更具体、更全面的安全措施，包括应急处置措施，将这些实际措施也一一写入登记表“主要防范措施”中。</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b/>
          <w:kern w:val="0"/>
          <w:sz w:val="24"/>
          <w:szCs w:val="24"/>
        </w:rPr>
      </w:pPr>
      <w:r w:rsidRPr="00353B67">
        <w:rPr>
          <w:rFonts w:ascii="仿宋_GB2312" w:eastAsia="仿宋_GB2312" w:hAnsi="宋体" w:cs="宋体" w:hint="eastAsia"/>
          <w:b/>
          <w:kern w:val="0"/>
          <w:sz w:val="36"/>
        </w:rPr>
        <w:t>5.查找“依据”</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638"/>
        <w:rPr>
          <w:rFonts w:ascii="宋体" w:hAnsi="宋体" w:cs="宋体" w:hint="eastAsia"/>
          <w:kern w:val="0"/>
          <w:sz w:val="24"/>
          <w:szCs w:val="24"/>
        </w:rPr>
      </w:pPr>
      <w:r w:rsidRPr="00353B67">
        <w:rPr>
          <w:rFonts w:ascii="仿宋_GB2312" w:eastAsia="仿宋_GB2312" w:hAnsi="宋体" w:cs="宋体" w:hint="eastAsia"/>
          <w:kern w:val="0"/>
          <w:sz w:val="36"/>
          <w:szCs w:val="36"/>
        </w:rPr>
        <w:t>《手册》中提供了部分“依据”的内容，但主要限于通用的标准和规范，班组应在上级或技术部门的帮助下，首先要找到《手册》中规定的依据原文，查找相应的内容，再结合本企业的资料，进行补充完善。最后将</w:t>
      </w:r>
      <w:r w:rsidRPr="00353B67">
        <w:rPr>
          <w:rFonts w:ascii="仿宋_GB2312" w:eastAsia="仿宋_GB2312" w:hAnsi="宋体" w:cs="宋体" w:hint="eastAsia"/>
          <w:kern w:val="0"/>
          <w:sz w:val="36"/>
          <w:szCs w:val="36"/>
        </w:rPr>
        <w:lastRenderedPageBreak/>
        <w:t>这些依据的文号和其中的相应条文一一填入登记表中“主要依据”部分。</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Times New Roman" w:eastAsia="楷体" w:hAnsi="Times New Roman" w:hint="eastAsia"/>
          <w:b/>
          <w:kern w:val="0"/>
          <w:sz w:val="24"/>
          <w:szCs w:val="24"/>
        </w:rPr>
      </w:pPr>
      <w:r w:rsidRPr="00353B67">
        <w:rPr>
          <w:rFonts w:ascii="楷体_GB2312" w:eastAsia="楷体_GB2312" w:hAnsi="宋体" w:cs="宋体" w:hint="eastAsia"/>
          <w:b/>
          <w:kern w:val="0"/>
          <w:sz w:val="36"/>
        </w:rPr>
        <w:t>（三）形成班组登记表。</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kern w:val="0"/>
          <w:sz w:val="24"/>
          <w:szCs w:val="24"/>
        </w:rPr>
      </w:pPr>
      <w:r w:rsidRPr="00353B67">
        <w:rPr>
          <w:rFonts w:ascii="仿宋_GB2312" w:eastAsia="仿宋_GB2312" w:hAnsi="宋体" w:cs="宋体" w:hint="eastAsia"/>
          <w:kern w:val="0"/>
          <w:sz w:val="36"/>
          <w:szCs w:val="36"/>
        </w:rPr>
        <w:t>在内容填写完整后，进行整理，形成本班组的《XX班组较大危险因素辨识与防范控制措施登记表》（以下简称《登记表》），班组组织员工对《登记表》进行学习讨论，在技术人员帮助下形成上报稿，并报企业主管部门汇总建档，经确认后成为本班组正式的《登记表》。</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t>（四）修订完善规程与制度。</w:t>
      </w:r>
    </w:p>
    <w:p w:rsidR="00EF37C3" w:rsidRPr="00353B67" w:rsidRDefault="00EF37C3" w:rsidP="00EF37C3">
      <w:pPr>
        <w:widowControl/>
        <w:shd w:val="clear" w:color="auto" w:fill="F4FAFF"/>
        <w:spacing w:before="100" w:beforeAutospacing="1" w:after="100" w:afterAutospacing="1" w:line="600" w:lineRule="exact"/>
        <w:ind w:firstLineChars="221" w:firstLine="796"/>
        <w:rPr>
          <w:rFonts w:ascii="仿宋_GB2312" w:eastAsia="仿宋_GB2312" w:hAnsi="宋体" w:cs="宋体" w:hint="eastAsia"/>
          <w:kern w:val="0"/>
          <w:sz w:val="24"/>
          <w:szCs w:val="24"/>
        </w:rPr>
      </w:pPr>
      <w:r w:rsidRPr="00353B67">
        <w:rPr>
          <w:rFonts w:ascii="仿宋_GB2312" w:eastAsia="仿宋_GB2312" w:hAnsi="宋体" w:cs="宋体" w:hint="eastAsia"/>
          <w:kern w:val="0"/>
          <w:sz w:val="36"/>
          <w:szCs w:val="36"/>
        </w:rPr>
        <w:t>企业组织各班组将本班组的《登记表》与相关制度和操作规程进行比较，发现不同点，讨论制度和操作规程中需要修改的内容，将这些内容汇总整理，按本单位有关制度的管理规定对相关制度和操作规程进行修订。</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t>（五）建立学习制度。</w:t>
      </w:r>
    </w:p>
    <w:p w:rsidR="00EF37C3" w:rsidRPr="00353B67" w:rsidRDefault="00EF37C3" w:rsidP="00EF37C3">
      <w:pPr>
        <w:widowControl/>
        <w:shd w:val="clear" w:color="auto" w:fill="F4FAFF"/>
        <w:spacing w:before="100" w:beforeAutospacing="1" w:after="100" w:afterAutospacing="1" w:line="600" w:lineRule="exact"/>
        <w:ind w:firstLineChars="221" w:firstLine="796"/>
        <w:rPr>
          <w:rFonts w:ascii="仿宋_GB2312" w:eastAsia="仿宋_GB2312" w:hAnsi="宋体" w:cs="宋体" w:hint="eastAsia"/>
          <w:kern w:val="0"/>
          <w:sz w:val="24"/>
          <w:szCs w:val="24"/>
        </w:rPr>
      </w:pPr>
      <w:r w:rsidRPr="00353B67">
        <w:rPr>
          <w:rFonts w:ascii="仿宋_GB2312" w:eastAsia="仿宋_GB2312" w:hAnsi="宋体" w:cs="宋体" w:hint="eastAsia"/>
          <w:kern w:val="0"/>
          <w:sz w:val="36"/>
          <w:szCs w:val="36"/>
        </w:rPr>
        <w:t>班组组织各岗位人员进行《登记表》和新修订的相关制度及操作规程的学习，并与生产现场实际情况进行一一对照讨论，明确《登记表》和制度规程中的执行与操作要点，并进行考试。</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楷体_GB2312" w:eastAsia="楷体_GB2312" w:hAnsi="宋体" w:cs="宋体" w:hint="eastAsia"/>
          <w:b/>
          <w:kern w:val="0"/>
          <w:sz w:val="24"/>
          <w:szCs w:val="24"/>
        </w:rPr>
      </w:pPr>
      <w:r w:rsidRPr="00353B67">
        <w:rPr>
          <w:rFonts w:ascii="楷体_GB2312" w:eastAsia="楷体_GB2312" w:hAnsi="宋体" w:cs="宋体" w:hint="eastAsia"/>
          <w:b/>
          <w:kern w:val="0"/>
          <w:sz w:val="36"/>
        </w:rPr>
        <w:lastRenderedPageBreak/>
        <w:t>（六）现场应用与实施。</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24"/>
          <w:szCs w:val="24"/>
        </w:rPr>
      </w:pPr>
      <w:r w:rsidRPr="00353B67">
        <w:rPr>
          <w:rFonts w:ascii="仿宋_GB2312" w:eastAsia="仿宋_GB2312" w:hAnsi="宋体" w:cs="宋体" w:hint="eastAsia"/>
          <w:kern w:val="0"/>
          <w:sz w:val="36"/>
          <w:szCs w:val="36"/>
        </w:rPr>
        <w:t>班组依据《登记表》中主要防范措施，逐一确认落实，并评估其效果。将其中难以短期内解决的问题，班组应将相关问题上报，研究制定防范计划并实施。</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落实新的制度和操作规程中的各项内容，在有较大危险因素的生产经营场所和有关设施、设备上，设置明显的安全警示标志，张贴较大危险因素危险告知卡（格式参照附件2）。班组对较大危险因素的防范措施进行日常自查，车间或企业进行监督检查，及时发现消除安全隐患。</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Times New Roman" w:eastAsia="楷体" w:hint="eastAsia"/>
          <w:b/>
          <w:kern w:val="0"/>
          <w:sz w:val="24"/>
          <w:szCs w:val="24"/>
        </w:rPr>
      </w:pPr>
      <w:r w:rsidRPr="00353B67">
        <w:rPr>
          <w:rFonts w:ascii="楷体_GB2312" w:eastAsia="楷体_GB2312" w:hAnsi="宋体" w:cs="宋体" w:hint="eastAsia"/>
          <w:b/>
          <w:kern w:val="0"/>
          <w:sz w:val="36"/>
        </w:rPr>
        <w:t>（七）防范措施改进。</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仿宋_GB2312" w:eastAsia="仿宋_GB2312" w:hAnsi="宋体" w:cs="宋体"/>
          <w:kern w:val="0"/>
          <w:sz w:val="24"/>
          <w:szCs w:val="24"/>
        </w:rPr>
      </w:pPr>
      <w:r w:rsidRPr="00353B67">
        <w:rPr>
          <w:rFonts w:ascii="仿宋_GB2312" w:eastAsia="仿宋_GB2312" w:hAnsi="宋体" w:cs="宋体" w:hint="eastAsia"/>
          <w:kern w:val="0"/>
          <w:sz w:val="36"/>
          <w:szCs w:val="36"/>
        </w:rPr>
        <w:t>企业组织有关部门和人员定期对较大危险因素的防范措施进行评估，尤其在工艺、设施设备发生变化后，按照以下程序对防范措施进行改进：</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宋体" w:hAnsi="宋体" w:cs="宋体" w:hint="eastAsia"/>
          <w:b/>
          <w:kern w:val="0"/>
          <w:sz w:val="24"/>
          <w:szCs w:val="24"/>
        </w:rPr>
      </w:pPr>
      <w:r w:rsidRPr="00353B67">
        <w:rPr>
          <w:rFonts w:ascii="仿宋_GB2312" w:eastAsia="仿宋_GB2312" w:hAnsi="宋体" w:cs="宋体" w:hint="eastAsia"/>
          <w:b/>
          <w:kern w:val="0"/>
          <w:sz w:val="36"/>
        </w:rPr>
        <w:t>1.分析原因</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t>组织相关部门和人员对较大危险因素产生和存在的原因进行全面分析，形成结果，做好记录。</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宋体" w:hAnsi="宋体" w:cs="宋体" w:hint="eastAsia"/>
          <w:b/>
          <w:kern w:val="0"/>
          <w:sz w:val="24"/>
          <w:szCs w:val="24"/>
        </w:rPr>
      </w:pPr>
      <w:r w:rsidRPr="00353B67">
        <w:rPr>
          <w:rFonts w:ascii="仿宋_GB2312" w:eastAsia="仿宋_GB2312" w:hAnsi="宋体" w:cs="宋体" w:hint="eastAsia"/>
          <w:b/>
          <w:kern w:val="0"/>
          <w:sz w:val="36"/>
        </w:rPr>
        <w:t>2.制定防范计划</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lastRenderedPageBreak/>
        <w:t>针对较大危险因素的原因，提出防范的具体措施，制定防范改进计划，按照相应的管理程序发布和实施。</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宋体" w:hAnsi="宋体" w:cs="宋体" w:hint="eastAsia"/>
          <w:b/>
          <w:kern w:val="0"/>
          <w:sz w:val="24"/>
          <w:szCs w:val="24"/>
        </w:rPr>
      </w:pPr>
      <w:r w:rsidRPr="00353B67">
        <w:rPr>
          <w:rFonts w:ascii="仿宋_GB2312" w:eastAsia="仿宋_GB2312" w:hAnsi="宋体" w:cs="宋体" w:hint="eastAsia"/>
          <w:b/>
          <w:kern w:val="0"/>
          <w:sz w:val="36"/>
        </w:rPr>
        <w:t>3.实施过程监控</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t>在防范计划实施过程中的各个实施阶段实行不间断的定期监督检查，保证措施的完全落实。</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宋体" w:hAnsi="宋体" w:cs="宋体" w:hint="eastAsia"/>
          <w:b/>
          <w:kern w:val="0"/>
          <w:sz w:val="24"/>
          <w:szCs w:val="24"/>
        </w:rPr>
      </w:pPr>
      <w:r w:rsidRPr="00353B67">
        <w:rPr>
          <w:rFonts w:ascii="仿宋_GB2312" w:eastAsia="仿宋_GB2312" w:hAnsi="宋体" w:cs="宋体" w:hint="eastAsia"/>
          <w:b/>
          <w:kern w:val="0"/>
          <w:sz w:val="36"/>
        </w:rPr>
        <w:t>4.验证评估</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t>防范计划完成后，按相应的工作程序对结果进行确认，组织专业人员对效果进行评估。</w:t>
      </w:r>
    </w:p>
    <w:p w:rsidR="00EF37C3" w:rsidRPr="00353B67" w:rsidRDefault="00EF37C3" w:rsidP="00EF37C3">
      <w:pPr>
        <w:widowControl/>
        <w:shd w:val="clear" w:color="auto" w:fill="F4FAFF"/>
        <w:spacing w:before="100" w:beforeAutospacing="1" w:after="100" w:afterAutospacing="1" w:line="600" w:lineRule="exact"/>
        <w:ind w:firstLineChars="200" w:firstLine="723"/>
        <w:rPr>
          <w:rFonts w:ascii="宋体" w:hAnsi="宋体" w:cs="宋体" w:hint="eastAsia"/>
          <w:b/>
          <w:kern w:val="0"/>
          <w:sz w:val="24"/>
          <w:szCs w:val="24"/>
        </w:rPr>
      </w:pPr>
      <w:r w:rsidRPr="00353B67">
        <w:rPr>
          <w:rFonts w:ascii="仿宋_GB2312" w:eastAsia="仿宋_GB2312" w:hAnsi="宋体" w:cs="宋体" w:hint="eastAsia"/>
          <w:b/>
          <w:kern w:val="0"/>
          <w:sz w:val="36"/>
        </w:rPr>
        <w:t>5.举一反三</w:t>
      </w:r>
      <w:r w:rsidRPr="00353B67">
        <w:rPr>
          <w:rFonts w:ascii="楷体_GB2312" w:eastAsia="楷体_GB2312" w:hAnsi="仿宋" w:cs="宋体" w:hint="eastAsia"/>
          <w:b/>
          <w:kern w:val="0"/>
          <w:sz w:val="36"/>
        </w:rPr>
        <w:t>。</w:t>
      </w:r>
    </w:p>
    <w:p w:rsidR="00EF37C3" w:rsidRPr="00353B67" w:rsidRDefault="00EF37C3" w:rsidP="00EF37C3">
      <w:pPr>
        <w:widowControl/>
        <w:shd w:val="clear" w:color="auto" w:fill="F4FAFF"/>
        <w:spacing w:before="100" w:beforeAutospacing="1" w:after="100" w:afterAutospacing="1" w:line="600" w:lineRule="exact"/>
        <w:ind w:firstLineChars="200" w:firstLine="720"/>
        <w:rPr>
          <w:rFonts w:ascii="宋体" w:hAnsi="宋体" w:cs="宋体" w:hint="eastAsia"/>
          <w:kern w:val="0"/>
          <w:sz w:val="24"/>
          <w:szCs w:val="24"/>
        </w:rPr>
      </w:pPr>
      <w:r w:rsidRPr="00353B67">
        <w:rPr>
          <w:rFonts w:ascii="仿宋_GB2312" w:eastAsia="仿宋_GB2312" w:hAnsi="宋体" w:cs="宋体" w:hint="eastAsia"/>
          <w:kern w:val="0"/>
          <w:sz w:val="36"/>
          <w:szCs w:val="36"/>
        </w:rPr>
        <w:t>对企业内有相似情况的危险因素进行辨识和评估，采取适当的防范改进措施并落实。</w:t>
      </w:r>
    </w:p>
    <w:p w:rsidR="00EF37C3" w:rsidRPr="00353B67" w:rsidRDefault="00EF37C3" w:rsidP="00EF37C3">
      <w:pPr>
        <w:widowControl/>
        <w:shd w:val="clear" w:color="auto" w:fill="F4FAFF"/>
        <w:spacing w:before="100" w:beforeAutospacing="1" w:after="100" w:afterAutospacing="1" w:line="600" w:lineRule="exact"/>
        <w:ind w:firstLineChars="200" w:firstLine="720"/>
        <w:jc w:val="left"/>
        <w:rPr>
          <w:rFonts w:ascii="仿宋_GB2312" w:eastAsia="仿宋_GB2312" w:hAnsi="宋体" w:cs="宋体" w:hint="eastAsia"/>
          <w:kern w:val="0"/>
          <w:sz w:val="36"/>
          <w:szCs w:val="36"/>
        </w:rPr>
      </w:pPr>
    </w:p>
    <w:p w:rsidR="00EF37C3" w:rsidRPr="00353B67" w:rsidRDefault="00EF37C3" w:rsidP="00EF37C3">
      <w:pPr>
        <w:widowControl/>
        <w:shd w:val="clear" w:color="auto" w:fill="F4FAFF"/>
        <w:spacing w:before="100" w:beforeAutospacing="1" w:after="100" w:afterAutospacing="1" w:line="600" w:lineRule="exact"/>
        <w:ind w:firstLineChars="200" w:firstLine="720"/>
        <w:jc w:val="left"/>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附件：1.企业较大危险因素辨识与防范控制措施登记表（示例）</w:t>
      </w:r>
    </w:p>
    <w:p w:rsidR="00EF37C3" w:rsidRPr="00353B67" w:rsidRDefault="00EF37C3" w:rsidP="00EF37C3">
      <w:pPr>
        <w:widowControl/>
        <w:shd w:val="clear" w:color="auto" w:fill="F4FAFF"/>
        <w:spacing w:before="100" w:beforeAutospacing="1" w:after="100" w:afterAutospacing="1" w:line="600" w:lineRule="exact"/>
        <w:ind w:firstLineChars="500" w:firstLine="1800"/>
        <w:jc w:val="left"/>
        <w:rPr>
          <w:rFonts w:ascii="仿宋_GB2312" w:eastAsia="仿宋_GB2312" w:hAnsi="宋体" w:cs="宋体" w:hint="eastAsia"/>
          <w:kern w:val="0"/>
          <w:sz w:val="36"/>
          <w:szCs w:val="36"/>
        </w:rPr>
      </w:pPr>
      <w:r w:rsidRPr="00353B67">
        <w:rPr>
          <w:rFonts w:ascii="仿宋_GB2312" w:eastAsia="仿宋_GB2312" w:hAnsi="宋体" w:cs="宋体" w:hint="eastAsia"/>
          <w:kern w:val="0"/>
          <w:sz w:val="36"/>
          <w:szCs w:val="36"/>
        </w:rPr>
        <w:t>2.较大危险因素告知卡（示例）</w:t>
      </w:r>
    </w:p>
    <w:p w:rsidR="00EF37C3" w:rsidRPr="00353B67" w:rsidRDefault="00EF37C3" w:rsidP="00EF37C3">
      <w:pPr>
        <w:widowControl/>
        <w:shd w:val="clear" w:color="auto" w:fill="F4FAFF"/>
        <w:spacing w:before="100" w:beforeAutospacing="1" w:after="100" w:afterAutospacing="1" w:line="600" w:lineRule="exact"/>
        <w:ind w:firstLineChars="200" w:firstLine="720"/>
        <w:jc w:val="left"/>
        <w:rPr>
          <w:rFonts w:ascii="仿宋_GB2312" w:eastAsia="仿宋_GB2312" w:hAnsi="宋体" w:cs="宋体" w:hint="eastAsia"/>
          <w:kern w:val="0"/>
          <w:sz w:val="36"/>
          <w:szCs w:val="36"/>
        </w:rPr>
      </w:pPr>
    </w:p>
    <w:p w:rsidR="00EF37C3" w:rsidRPr="00353B67" w:rsidRDefault="00EF37C3" w:rsidP="00EF37C3">
      <w:pPr>
        <w:widowControl/>
        <w:shd w:val="clear" w:color="auto" w:fill="F4FAFF"/>
        <w:spacing w:before="100" w:beforeAutospacing="1" w:after="100" w:afterAutospacing="1" w:line="432" w:lineRule="auto"/>
        <w:rPr>
          <w:rFonts w:ascii="仿宋" w:eastAsia="仿宋" w:hAnsi="仿宋"/>
          <w:kern w:val="0"/>
          <w:sz w:val="30"/>
          <w:szCs w:val="30"/>
        </w:rPr>
        <w:sectPr w:rsidR="00EF37C3" w:rsidRPr="00353B67">
          <w:pgSz w:w="12240" w:h="15840"/>
          <w:pgMar w:top="1440" w:right="1800" w:bottom="1440" w:left="1800" w:header="720" w:footer="720" w:gutter="0"/>
          <w:cols w:space="720"/>
        </w:sectPr>
      </w:pPr>
    </w:p>
    <w:p w:rsidR="00EF37C3" w:rsidRPr="00353B67" w:rsidRDefault="00EF37C3" w:rsidP="00EF37C3">
      <w:pPr>
        <w:widowControl/>
        <w:shd w:val="clear" w:color="auto" w:fill="F4FAFF"/>
        <w:spacing w:before="100" w:beforeAutospacing="1" w:after="100" w:afterAutospacing="1" w:line="432" w:lineRule="auto"/>
        <w:rPr>
          <w:rFonts w:ascii="黑体" w:eastAsia="黑体" w:hAnsi="仿宋" w:cs="宋体" w:hint="eastAsia"/>
          <w:kern w:val="0"/>
          <w:sz w:val="32"/>
          <w:szCs w:val="30"/>
        </w:rPr>
      </w:pPr>
      <w:r w:rsidRPr="00353B67">
        <w:rPr>
          <w:rFonts w:ascii="黑体" w:eastAsia="黑体" w:hAnsi="仿宋" w:cs="宋体" w:hint="eastAsia"/>
          <w:kern w:val="0"/>
          <w:sz w:val="32"/>
          <w:szCs w:val="30"/>
        </w:rPr>
        <w:lastRenderedPageBreak/>
        <w:t>附件1</w:t>
      </w:r>
    </w:p>
    <w:p w:rsidR="00EF37C3" w:rsidRPr="00353B67" w:rsidRDefault="00EF37C3" w:rsidP="00EF37C3">
      <w:pPr>
        <w:widowControl/>
        <w:shd w:val="clear" w:color="auto" w:fill="F4FAFF"/>
        <w:spacing w:before="100" w:beforeAutospacing="1" w:after="100" w:afterAutospacing="1" w:line="432" w:lineRule="auto"/>
        <w:jc w:val="center"/>
        <w:rPr>
          <w:rFonts w:ascii="华文中宋" w:eastAsia="华文中宋" w:hAnsi="华文中宋" w:cs="宋体" w:hint="eastAsia"/>
          <w:kern w:val="0"/>
          <w:sz w:val="44"/>
          <w:szCs w:val="44"/>
        </w:rPr>
      </w:pPr>
      <w:r w:rsidRPr="00353B67">
        <w:rPr>
          <w:rFonts w:ascii="华文中宋" w:eastAsia="华文中宋" w:hAnsi="华文中宋" w:cs="宋体" w:hint="eastAsia"/>
          <w:kern w:val="0"/>
          <w:sz w:val="44"/>
          <w:szCs w:val="44"/>
        </w:rPr>
        <w:t>企业较大危险因素辨识与防范控制措施登记表（示例）</w:t>
      </w:r>
    </w:p>
    <w:tbl>
      <w:tblPr>
        <w:tblW w:w="50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25"/>
        <w:gridCol w:w="1725"/>
        <w:gridCol w:w="1662"/>
        <w:gridCol w:w="1379"/>
        <w:gridCol w:w="955"/>
        <w:gridCol w:w="1139"/>
      </w:tblGrid>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序号</w:t>
            </w:r>
          </w:p>
        </w:tc>
        <w:tc>
          <w:tcPr>
            <w:tcW w:w="851"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场所/环节/部位</w:t>
            </w:r>
          </w:p>
        </w:tc>
        <w:tc>
          <w:tcPr>
            <w:tcW w:w="963"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较大危险因素名称</w:t>
            </w:r>
          </w:p>
        </w:tc>
        <w:tc>
          <w:tcPr>
            <w:tcW w:w="928"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易发生的事故类型</w:t>
            </w:r>
          </w:p>
        </w:tc>
        <w:tc>
          <w:tcPr>
            <w:tcW w:w="770"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主要方法措施</w:t>
            </w:r>
          </w:p>
        </w:tc>
        <w:tc>
          <w:tcPr>
            <w:tcW w:w="533"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主要依据</w:t>
            </w:r>
          </w:p>
        </w:tc>
        <w:tc>
          <w:tcPr>
            <w:tcW w:w="636"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_GB2312" w:eastAsia="仿宋_GB2312" w:hAnsi="仿宋" w:cs="宋体"/>
                <w:b/>
                <w:kern w:val="0"/>
                <w:sz w:val="28"/>
                <w:szCs w:val="28"/>
              </w:rPr>
            </w:pPr>
            <w:r w:rsidRPr="00353B67">
              <w:rPr>
                <w:rFonts w:ascii="仿宋_GB2312" w:eastAsia="仿宋_GB2312" w:hAnsi="仿宋" w:cs="宋体" w:hint="eastAsia"/>
                <w:b/>
                <w:kern w:val="0"/>
                <w:sz w:val="28"/>
              </w:rPr>
              <w:t>岗位负责人</w:t>
            </w: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1</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2</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3</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4</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5</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r w:rsidR="00EF37C3" w:rsidRPr="00353B67" w:rsidTr="002059C5">
        <w:tc>
          <w:tcPr>
            <w:tcW w:w="319" w:type="pct"/>
            <w:tcBorders>
              <w:top w:val="single" w:sz="4" w:space="0" w:color="auto"/>
              <w:left w:val="single" w:sz="4" w:space="0" w:color="auto"/>
              <w:bottom w:val="single" w:sz="4" w:space="0" w:color="auto"/>
              <w:right w:val="single" w:sz="4" w:space="0" w:color="auto"/>
            </w:tcBorders>
            <w:hideMark/>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r w:rsidRPr="00353B67">
              <w:rPr>
                <w:rFonts w:ascii="仿宋" w:eastAsia="仿宋" w:hAnsi="仿宋" w:cs="宋体" w:hint="eastAsia"/>
                <w:b/>
                <w:kern w:val="0"/>
                <w:sz w:val="24"/>
                <w:szCs w:val="24"/>
              </w:rPr>
              <w:t>…</w:t>
            </w:r>
          </w:p>
        </w:tc>
        <w:tc>
          <w:tcPr>
            <w:tcW w:w="851"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6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928"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770"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533"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c>
          <w:tcPr>
            <w:tcW w:w="636" w:type="pct"/>
            <w:tcBorders>
              <w:top w:val="single" w:sz="4" w:space="0" w:color="auto"/>
              <w:left w:val="single" w:sz="4" w:space="0" w:color="auto"/>
              <w:bottom w:val="single" w:sz="4" w:space="0" w:color="auto"/>
              <w:right w:val="single" w:sz="4" w:space="0" w:color="auto"/>
            </w:tcBorders>
          </w:tcPr>
          <w:p w:rsidR="00EF37C3" w:rsidRPr="00353B67" w:rsidRDefault="00EF37C3" w:rsidP="002059C5">
            <w:pPr>
              <w:widowControl/>
              <w:spacing w:beforeLines="100" w:before="240" w:afterLines="100" w:after="240"/>
              <w:jc w:val="center"/>
              <w:rPr>
                <w:rFonts w:ascii="仿宋" w:eastAsia="仿宋" w:hAnsi="仿宋" w:cs="宋体"/>
                <w:b/>
                <w:kern w:val="0"/>
                <w:sz w:val="24"/>
                <w:szCs w:val="24"/>
              </w:rPr>
            </w:pPr>
          </w:p>
        </w:tc>
      </w:tr>
    </w:tbl>
    <w:p w:rsidR="00EF37C3" w:rsidRPr="00353B67" w:rsidRDefault="00EF37C3" w:rsidP="00EF37C3">
      <w:pPr>
        <w:widowControl/>
        <w:shd w:val="clear" w:color="auto" w:fill="F4FAFF"/>
        <w:spacing w:before="100" w:beforeAutospacing="1" w:after="100" w:afterAutospacing="1" w:line="432" w:lineRule="auto"/>
        <w:rPr>
          <w:rFonts w:ascii="仿宋" w:eastAsia="仿宋" w:hAnsi="仿宋"/>
          <w:b/>
          <w:sz w:val="30"/>
        </w:rPr>
        <w:sectPr w:rsidR="00EF37C3" w:rsidRPr="00353B67">
          <w:pgSz w:w="12240" w:h="15840"/>
          <w:pgMar w:top="1440" w:right="1800" w:bottom="1440" w:left="1800" w:header="720" w:footer="720" w:gutter="0"/>
          <w:cols w:space="720"/>
        </w:sectPr>
      </w:pPr>
    </w:p>
    <w:p w:rsidR="00EF37C3" w:rsidRPr="00353B67" w:rsidRDefault="00EF37C3" w:rsidP="00EF37C3">
      <w:pPr>
        <w:widowControl/>
        <w:shd w:val="clear" w:color="auto" w:fill="F4FAFF"/>
        <w:spacing w:before="100" w:beforeAutospacing="1" w:after="100" w:afterAutospacing="1" w:line="432" w:lineRule="auto"/>
        <w:jc w:val="left"/>
        <w:rPr>
          <w:rFonts w:ascii="黑体" w:eastAsia="黑体" w:hAnsi="仿宋" w:cs="宋体" w:hint="eastAsia"/>
          <w:kern w:val="0"/>
          <w:sz w:val="32"/>
          <w:szCs w:val="30"/>
        </w:rPr>
      </w:pPr>
      <w:r w:rsidRPr="00353B67">
        <w:rPr>
          <w:rFonts w:ascii="黑体" w:eastAsia="黑体" w:hAnsi="仿宋" w:cs="宋体" w:hint="eastAsia"/>
          <w:kern w:val="0"/>
          <w:sz w:val="32"/>
          <w:szCs w:val="30"/>
        </w:rPr>
        <w:lastRenderedPageBreak/>
        <w:t>附件2</w:t>
      </w:r>
    </w:p>
    <w:p w:rsidR="00EF37C3" w:rsidRPr="00353B67" w:rsidRDefault="00EF37C3" w:rsidP="00EF37C3">
      <w:pPr>
        <w:widowControl/>
        <w:shd w:val="clear" w:color="auto" w:fill="F4FAFF"/>
        <w:spacing w:before="100" w:beforeAutospacing="1" w:after="100" w:afterAutospacing="1" w:line="432" w:lineRule="auto"/>
        <w:jc w:val="center"/>
        <w:rPr>
          <w:rFonts w:ascii="仿宋" w:eastAsia="仿宋" w:hAnsi="仿宋" w:cs="宋体" w:hint="eastAsia"/>
          <w:kern w:val="0"/>
          <w:sz w:val="30"/>
          <w:szCs w:val="30"/>
        </w:rPr>
      </w:pPr>
    </w:p>
    <w:p w:rsidR="00EF37C3" w:rsidRPr="00353B67" w:rsidRDefault="00EF37C3" w:rsidP="00EF37C3">
      <w:pPr>
        <w:widowControl/>
        <w:shd w:val="clear" w:color="auto" w:fill="F4FAFF"/>
        <w:spacing w:before="100" w:beforeAutospacing="1" w:after="100" w:afterAutospacing="1" w:line="432" w:lineRule="auto"/>
        <w:jc w:val="center"/>
        <w:rPr>
          <w:rFonts w:ascii="华文中宋" w:eastAsia="华文中宋" w:hAnsi="华文中宋" w:cs="宋体" w:hint="eastAsia"/>
          <w:kern w:val="0"/>
          <w:sz w:val="44"/>
          <w:szCs w:val="44"/>
        </w:rPr>
      </w:pPr>
      <w:r w:rsidRPr="00353B67">
        <w:rPr>
          <w:rFonts w:ascii="华文中宋" w:eastAsia="华文中宋" w:hAnsi="华文中宋" w:cs="宋体" w:hint="eastAsia"/>
          <w:kern w:val="0"/>
          <w:sz w:val="44"/>
          <w:szCs w:val="44"/>
        </w:rPr>
        <w:t>较大危险因素告知卡（示例）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265"/>
        <w:gridCol w:w="1092"/>
        <w:gridCol w:w="1338"/>
        <w:gridCol w:w="790"/>
        <w:gridCol w:w="2056"/>
        <w:gridCol w:w="456"/>
      </w:tblGrid>
      <w:tr w:rsidR="00EF37C3" w:rsidRPr="00353B67" w:rsidTr="002059C5">
        <w:trPr>
          <w:trHeight w:val="1017"/>
        </w:trPr>
        <w:tc>
          <w:tcPr>
            <w:tcW w:w="1101"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100" w:beforeAutospacing="1" w:after="100" w:afterAutospacing="1"/>
              <w:jc w:val="left"/>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较大危险因素名称</w:t>
            </w:r>
          </w:p>
        </w:tc>
        <w:tc>
          <w:tcPr>
            <w:tcW w:w="2409" w:type="dxa"/>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100" w:beforeAutospacing="1" w:after="100" w:afterAutospacing="1"/>
              <w:jc w:val="center"/>
              <w:rPr>
                <w:rFonts w:ascii="仿宋_GB2312" w:eastAsia="仿宋_GB2312" w:hAnsi="楷体" w:cs="宋体"/>
                <w:kern w:val="0"/>
                <w:sz w:val="28"/>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100" w:beforeAutospacing="1" w:after="100" w:afterAutospacing="1"/>
              <w:jc w:val="left"/>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场所/环节/部位名称</w:t>
            </w: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100" w:beforeAutospacing="1" w:after="100" w:afterAutospacing="1"/>
              <w:jc w:val="center"/>
              <w:rPr>
                <w:rFonts w:ascii="仿宋_GB2312" w:eastAsia="仿宋_GB2312" w:hAnsi="楷体" w:cs="宋体"/>
                <w:kern w:val="0"/>
                <w:sz w:val="28"/>
                <w:szCs w:val="21"/>
              </w:rPr>
            </w:pPr>
          </w:p>
        </w:tc>
        <w:tc>
          <w:tcPr>
            <w:tcW w:w="6" w:type="dxa"/>
            <w:tcBorders>
              <w:top w:val="nil"/>
              <w:left w:val="nil"/>
              <w:bottom w:val="nil"/>
              <w:right w:val="nil"/>
            </w:tcBorders>
            <w:vAlign w:val="center"/>
            <w:hideMark/>
          </w:tcPr>
          <w:p w:rsidR="00EF37C3" w:rsidRPr="00353B67" w:rsidRDefault="00EF37C3" w:rsidP="002059C5">
            <w:pPr>
              <w:widowControl/>
              <w:jc w:val="left"/>
              <w:rPr>
                <w:rFonts w:ascii="微软雅黑" w:eastAsia="微软雅黑" w:hAnsi="微软雅黑" w:cs="宋体"/>
                <w:kern w:val="0"/>
                <w:sz w:val="26"/>
                <w:szCs w:val="26"/>
              </w:rPr>
            </w:pPr>
          </w:p>
        </w:tc>
      </w:tr>
      <w:tr w:rsidR="00EF37C3" w:rsidRPr="00353B67" w:rsidTr="002059C5">
        <w:tc>
          <w:tcPr>
            <w:tcW w:w="1101"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编号</w:t>
            </w:r>
          </w:p>
        </w:tc>
        <w:tc>
          <w:tcPr>
            <w:tcW w:w="2409" w:type="dxa"/>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主要防范措施</w:t>
            </w:r>
          </w:p>
        </w:tc>
        <w:tc>
          <w:tcPr>
            <w:tcW w:w="4416" w:type="dxa"/>
            <w:gridSpan w:val="3"/>
            <w:vMerge w:val="restart"/>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p>
        </w:tc>
        <w:tc>
          <w:tcPr>
            <w:tcW w:w="6" w:type="dxa"/>
            <w:tcBorders>
              <w:top w:val="nil"/>
              <w:left w:val="nil"/>
              <w:bottom w:val="nil"/>
              <w:right w:val="nil"/>
            </w:tcBorders>
            <w:vAlign w:val="center"/>
            <w:hideMark/>
          </w:tcPr>
          <w:p w:rsidR="00EF37C3" w:rsidRPr="00353B67" w:rsidRDefault="00EF37C3" w:rsidP="002059C5">
            <w:pPr>
              <w:widowControl/>
              <w:spacing w:before="100" w:beforeAutospacing="1" w:after="100" w:afterAutospacing="1"/>
              <w:jc w:val="left"/>
              <w:rPr>
                <w:rFonts w:ascii="宋体" w:hAnsi="宋体" w:cs="宋体"/>
                <w:kern w:val="0"/>
                <w:sz w:val="24"/>
                <w:szCs w:val="24"/>
              </w:rPr>
            </w:pPr>
            <w:r w:rsidRPr="00353B67">
              <w:rPr>
                <w:rFonts w:ascii="宋体" w:hAnsi="宋体" w:cs="宋体"/>
                <w:kern w:val="0"/>
                <w:sz w:val="24"/>
                <w:szCs w:val="24"/>
              </w:rPr>
              <w:t> </w:t>
            </w:r>
            <w:r w:rsidRPr="00353B67">
              <w:rPr>
                <w:rFonts w:ascii="微软雅黑" w:eastAsia="微软雅黑" w:hAnsi="微软雅黑" w:cs="宋体" w:hint="eastAsia"/>
                <w:kern w:val="0"/>
                <w:sz w:val="26"/>
                <w:szCs w:val="26"/>
              </w:rPr>
              <w:t xml:space="preserve"> </w:t>
            </w:r>
          </w:p>
        </w:tc>
      </w:tr>
      <w:tr w:rsidR="00EF37C3" w:rsidRPr="00353B67" w:rsidTr="002059C5">
        <w:trPr>
          <w:trHeight w:val="517"/>
        </w:trPr>
        <w:tc>
          <w:tcPr>
            <w:tcW w:w="3510" w:type="dxa"/>
            <w:gridSpan w:val="2"/>
            <w:vMerge w:val="restart"/>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hint="eastAsia"/>
                <w:kern w:val="0"/>
                <w:sz w:val="28"/>
                <w:szCs w:val="21"/>
              </w:rPr>
            </w:pPr>
          </w:p>
          <w:p w:rsidR="00EF37C3" w:rsidRPr="00353B67" w:rsidRDefault="00EF37C3" w:rsidP="002059C5">
            <w:pPr>
              <w:widowControl/>
              <w:spacing w:before="100" w:beforeAutospacing="1" w:after="100" w:afterAutospacing="1"/>
              <w:jc w:val="center"/>
              <w:rPr>
                <w:rFonts w:ascii="仿宋_GB2312" w:eastAsia="仿宋_GB2312" w:hAnsi="楷体" w:cs="宋体" w:hint="eastAsia"/>
                <w:kern w:val="0"/>
                <w:sz w:val="28"/>
                <w:szCs w:val="21"/>
              </w:rPr>
            </w:pPr>
          </w:p>
          <w:p w:rsidR="00EF37C3" w:rsidRPr="00353B67" w:rsidRDefault="00EF37C3" w:rsidP="002059C5">
            <w:pPr>
              <w:widowControl/>
              <w:spacing w:before="100" w:beforeAutospacing="1" w:after="100" w:afterAutospacing="1"/>
              <w:jc w:val="center"/>
              <w:rPr>
                <w:rFonts w:ascii="仿宋_GB2312" w:eastAsia="仿宋_GB2312" w:hAnsi="楷体" w:cs="宋体" w:hint="eastAsia"/>
                <w:kern w:val="0"/>
                <w:sz w:val="28"/>
                <w:szCs w:val="21"/>
              </w:rPr>
            </w:pPr>
          </w:p>
          <w:p w:rsidR="00EF37C3" w:rsidRPr="00353B67" w:rsidRDefault="00EF37C3" w:rsidP="002059C5">
            <w:pPr>
              <w:widowControl/>
              <w:spacing w:before="100" w:beforeAutospacing="1" w:after="100" w:afterAutospacing="1"/>
              <w:jc w:val="center"/>
              <w:rPr>
                <w:rFonts w:ascii="仿宋_GB2312" w:eastAsia="仿宋_GB2312" w:hAnsi="楷体" w:cs="宋体" w:hint="eastAsia"/>
                <w:kern w:val="0"/>
                <w:sz w:val="28"/>
              </w:rPr>
            </w:pPr>
            <w:r w:rsidRPr="00353B67">
              <w:rPr>
                <w:rFonts w:ascii="仿宋_GB2312" w:eastAsia="仿宋_GB2312" w:hAnsi="楷体" w:cs="宋体" w:hint="eastAsia"/>
                <w:kern w:val="0"/>
                <w:sz w:val="28"/>
              </w:rPr>
              <w:t>（照片）</w:t>
            </w:r>
          </w:p>
          <w:p w:rsidR="00EF37C3" w:rsidRPr="00353B67" w:rsidRDefault="00EF37C3" w:rsidP="002059C5">
            <w:pPr>
              <w:widowControl/>
              <w:spacing w:before="100" w:beforeAutospacing="1" w:after="100" w:afterAutospacing="1"/>
              <w:jc w:val="center"/>
              <w:rPr>
                <w:rFonts w:ascii="仿宋_GB2312" w:eastAsia="仿宋_GB2312" w:hAnsi="楷体" w:cs="宋体" w:hint="eastAsia"/>
                <w:kern w:val="0"/>
                <w:sz w:val="28"/>
                <w:szCs w:val="21"/>
              </w:rPr>
            </w:pPr>
          </w:p>
          <w:p w:rsidR="00EF37C3" w:rsidRPr="00353B67" w:rsidRDefault="00EF37C3" w:rsidP="002059C5">
            <w:pPr>
              <w:widowControl/>
              <w:spacing w:before="100" w:beforeAutospacing="1" w:after="100" w:afterAutospacing="1"/>
              <w:jc w:val="center"/>
              <w:rPr>
                <w:rFonts w:ascii="仿宋_GB2312" w:eastAsia="仿宋_GB2312" w:hAnsi="楷体" w:cs="宋体" w:hint="eastAsia"/>
                <w:kern w:val="0"/>
                <w:sz w:val="28"/>
                <w:szCs w:val="21"/>
              </w:rPr>
            </w:pPr>
          </w:p>
          <w:p w:rsidR="00EF37C3" w:rsidRPr="00353B67" w:rsidRDefault="00EF37C3" w:rsidP="002059C5">
            <w:pPr>
              <w:widowControl/>
              <w:spacing w:before="100" w:beforeAutospacing="1" w:after="100" w:afterAutospacing="1"/>
              <w:rPr>
                <w:rFonts w:ascii="仿宋_GB2312" w:eastAsia="仿宋_GB2312" w:hAnsi="楷体" w:cs="宋体"/>
                <w:kern w:val="0"/>
                <w:sz w:val="2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jc w:val="left"/>
              <w:rPr>
                <w:rFonts w:ascii="仿宋_GB2312" w:eastAsia="仿宋_GB2312" w:hAnsi="楷体" w:cs="宋体"/>
                <w:kern w:val="0"/>
                <w:sz w:val="28"/>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jc w:val="left"/>
              <w:rPr>
                <w:rFonts w:ascii="仿宋_GB2312" w:eastAsia="仿宋_GB2312" w:hAnsi="楷体" w:cs="宋体"/>
                <w:kern w:val="0"/>
                <w:sz w:val="28"/>
                <w:szCs w:val="21"/>
              </w:rPr>
            </w:pPr>
          </w:p>
        </w:tc>
        <w:tc>
          <w:tcPr>
            <w:tcW w:w="6" w:type="dxa"/>
            <w:tcBorders>
              <w:top w:val="nil"/>
              <w:left w:val="nil"/>
              <w:bottom w:val="nil"/>
              <w:right w:val="nil"/>
            </w:tcBorders>
            <w:vAlign w:val="center"/>
            <w:hideMark/>
          </w:tcPr>
          <w:p w:rsidR="00EF37C3" w:rsidRPr="00353B67" w:rsidRDefault="00EF37C3" w:rsidP="002059C5">
            <w:pPr>
              <w:widowControl/>
              <w:spacing w:beforeAutospacing="1" w:afterAutospacing="1"/>
              <w:jc w:val="left"/>
              <w:rPr>
                <w:rFonts w:ascii="微软雅黑" w:eastAsia="微软雅黑" w:hAnsi="微软雅黑" w:cs="宋体"/>
                <w:kern w:val="0"/>
                <w:sz w:val="26"/>
                <w:szCs w:val="26"/>
              </w:rPr>
            </w:pPr>
          </w:p>
        </w:tc>
      </w:tr>
      <w:tr w:rsidR="00EF37C3" w:rsidRPr="00353B67" w:rsidTr="002059C5">
        <w:trPr>
          <w:trHeight w:val="12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jc w:val="left"/>
              <w:rPr>
                <w:rFonts w:ascii="仿宋_GB2312" w:eastAsia="仿宋_GB2312" w:hAnsi="楷体" w:cs="宋体"/>
                <w:kern w:val="0"/>
                <w:sz w:val="28"/>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应急处置措施</w:t>
            </w: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p>
        </w:tc>
        <w:tc>
          <w:tcPr>
            <w:tcW w:w="6" w:type="dxa"/>
            <w:tcBorders>
              <w:top w:val="nil"/>
              <w:left w:val="nil"/>
              <w:bottom w:val="nil"/>
              <w:right w:val="nil"/>
            </w:tcBorders>
            <w:vAlign w:val="center"/>
            <w:hideMark/>
          </w:tcPr>
          <w:p w:rsidR="00EF37C3" w:rsidRPr="00353B67" w:rsidRDefault="00EF37C3" w:rsidP="002059C5">
            <w:pPr>
              <w:widowControl/>
              <w:spacing w:beforeAutospacing="1" w:afterAutospacing="1"/>
              <w:jc w:val="left"/>
              <w:rPr>
                <w:rFonts w:ascii="微软雅黑" w:eastAsia="微软雅黑" w:hAnsi="微软雅黑" w:cs="宋体"/>
                <w:kern w:val="0"/>
                <w:sz w:val="26"/>
                <w:szCs w:val="26"/>
              </w:rPr>
            </w:pPr>
          </w:p>
        </w:tc>
      </w:tr>
      <w:tr w:rsidR="00EF37C3" w:rsidRPr="00353B67" w:rsidTr="002059C5">
        <w:trPr>
          <w:trHeight w:val="10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jc w:val="left"/>
              <w:rPr>
                <w:rFonts w:ascii="仿宋_GB2312" w:eastAsia="仿宋_GB2312" w:hAnsi="楷体" w:cs="宋体"/>
                <w:kern w:val="0"/>
                <w:sz w:val="28"/>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Lines="100" w:before="312" w:afterLines="100" w:after="312"/>
              <w:jc w:val="left"/>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易发生的事故类型</w:t>
            </w:r>
          </w:p>
        </w:tc>
        <w:tc>
          <w:tcPr>
            <w:tcW w:w="1418" w:type="dxa"/>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r w:rsidRPr="00353B67">
              <w:rPr>
                <w:rFonts w:ascii="仿宋_GB2312" w:eastAsia="仿宋_GB2312" w:hAnsi="楷体" w:cs="宋体" w:hint="eastAsia"/>
                <w:kern w:val="0"/>
                <w:sz w:val="28"/>
                <w:szCs w:val="21"/>
              </w:rPr>
              <w:t>警示标志</w:t>
            </w:r>
          </w:p>
        </w:tc>
        <w:tc>
          <w:tcPr>
            <w:tcW w:w="2187" w:type="dxa"/>
            <w:tcBorders>
              <w:top w:val="single" w:sz="4" w:space="0" w:color="auto"/>
              <w:left w:val="single" w:sz="4" w:space="0" w:color="auto"/>
              <w:bottom w:val="single" w:sz="4" w:space="0" w:color="auto"/>
              <w:right w:val="single" w:sz="4" w:space="0" w:color="auto"/>
            </w:tcBorders>
            <w:vAlign w:val="center"/>
          </w:tcPr>
          <w:p w:rsidR="00EF37C3" w:rsidRPr="00353B67" w:rsidRDefault="00EF37C3" w:rsidP="002059C5">
            <w:pPr>
              <w:widowControl/>
              <w:spacing w:beforeLines="100" w:before="312" w:afterLines="100" w:after="312"/>
              <w:jc w:val="center"/>
              <w:rPr>
                <w:rFonts w:ascii="仿宋_GB2312" w:eastAsia="仿宋_GB2312" w:hAnsi="楷体" w:cs="宋体"/>
                <w:kern w:val="0"/>
                <w:sz w:val="28"/>
                <w:szCs w:val="21"/>
              </w:rPr>
            </w:pPr>
          </w:p>
        </w:tc>
        <w:tc>
          <w:tcPr>
            <w:tcW w:w="6" w:type="dxa"/>
            <w:tcBorders>
              <w:top w:val="nil"/>
              <w:left w:val="nil"/>
              <w:bottom w:val="nil"/>
              <w:right w:val="nil"/>
            </w:tcBorders>
            <w:vAlign w:val="center"/>
            <w:hideMark/>
          </w:tcPr>
          <w:p w:rsidR="00EF37C3" w:rsidRPr="00353B67" w:rsidRDefault="00EF37C3" w:rsidP="002059C5">
            <w:pPr>
              <w:widowControl/>
              <w:spacing w:beforeAutospacing="1" w:afterAutospacing="1"/>
              <w:jc w:val="left"/>
              <w:rPr>
                <w:rFonts w:ascii="微软雅黑" w:eastAsia="微软雅黑" w:hAnsi="微软雅黑" w:cs="宋体"/>
                <w:kern w:val="0"/>
                <w:sz w:val="26"/>
                <w:szCs w:val="26"/>
              </w:rPr>
            </w:pPr>
          </w:p>
        </w:tc>
      </w:tr>
    </w:tbl>
    <w:p w:rsidR="00EF37C3" w:rsidRPr="00353B67" w:rsidRDefault="00EF37C3" w:rsidP="00EF37C3"/>
    <w:p w:rsidR="002E3EB2" w:rsidRPr="00EF37C3" w:rsidRDefault="002E3EB2">
      <w:bookmarkStart w:id="0" w:name="_GoBack"/>
      <w:bookmarkEnd w:id="0"/>
    </w:p>
    <w:sectPr w:rsidR="002E3EB2" w:rsidRPr="00EF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3A"/>
    <w:rsid w:val="002E3EB2"/>
    <w:rsid w:val="00EF37C3"/>
    <w:rsid w:val="00EF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7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safety.gov.cn/newpage/Contents/Channel_5493/2016/0630/272008/files_founder_149711818/163751814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2016-08-17T06:25:00Z</dcterms:created>
  <dcterms:modified xsi:type="dcterms:W3CDTF">2016-08-17T06:26:00Z</dcterms:modified>
</cp:coreProperties>
</file>